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901" w:rsidRPr="00D243FF" w:rsidRDefault="00FF0901" w:rsidP="00FF0901">
      <w:pPr>
        <w:rPr>
          <w:rFonts w:ascii="Tahoma" w:hAnsi="Tahoma" w:cs="Tahoma"/>
          <w:b/>
          <w:bCs/>
          <w:color w:val="000000"/>
          <w:sz w:val="20"/>
          <w:szCs w:val="16"/>
          <w:shd w:val="clear" w:color="auto" w:fill="FFFFFF"/>
        </w:rPr>
      </w:pPr>
      <w:r w:rsidRPr="00201EB3">
        <w:rPr>
          <w:rFonts w:ascii="Tahoma" w:hAnsi="Tahoma" w:cs="Tahoma"/>
          <w:noProof/>
          <w:color w:val="595959" w:themeColor="text1" w:themeTint="A6"/>
          <w:lang w:val="es-ES_tradnl" w:eastAsia="es-ES_tradnl"/>
        </w:rPr>
        <w:drawing>
          <wp:anchor distT="0" distB="0" distL="114300" distR="114300" simplePos="0" relativeHeight="251662336" behindDoc="1" locked="0" layoutInCell="1" allowOverlap="1" wp14:anchorId="1ECFB27F" wp14:editId="20FF61B8">
            <wp:simplePos x="0" y="0"/>
            <wp:positionH relativeFrom="page">
              <wp:posOffset>0</wp:posOffset>
            </wp:positionH>
            <wp:positionV relativeFrom="paragraph">
              <wp:posOffset>-889635</wp:posOffset>
            </wp:positionV>
            <wp:extent cx="4013200" cy="2514600"/>
            <wp:effectExtent l="0" t="0" r="6350" b="0"/>
            <wp:wrapNone/>
            <wp:docPr id="18" name="Imagen 18" descr="C:\Users\LILIANA\Documents\FORMATOS SCT\REDES 2017\ANUNCIOS SEPTIEMB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Documents\FORMATOS SCT\REDES 2017\ANUNCIOS SEPTIEMBRE\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12670"/>
                    <a:stretch/>
                  </pic:blipFill>
                  <pic:spPr bwMode="auto">
                    <a:xfrm>
                      <a:off x="0" y="0"/>
                      <a:ext cx="4013200" cy="2514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61312" behindDoc="1" locked="0" layoutInCell="1" allowOverlap="1" wp14:anchorId="00549070" wp14:editId="4735BBD4">
            <wp:simplePos x="0" y="0"/>
            <wp:positionH relativeFrom="page">
              <wp:align>right</wp:align>
            </wp:positionH>
            <wp:positionV relativeFrom="paragraph">
              <wp:posOffset>-1346835</wp:posOffset>
            </wp:positionV>
            <wp:extent cx="3944620" cy="2548201"/>
            <wp:effectExtent l="0" t="0" r="0" b="508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7" cstate="print">
                      <a:extLst>
                        <a:ext uri="{28A0092B-C50C-407E-A947-70E740481C1C}">
                          <a14:useLocalDpi xmlns:a14="http://schemas.microsoft.com/office/drawing/2010/main" val="0"/>
                        </a:ext>
                      </a:extLst>
                    </a:blip>
                    <a:srcRect l="71660"/>
                    <a:stretch/>
                  </pic:blipFill>
                  <pic:spPr bwMode="auto">
                    <a:xfrm>
                      <a:off x="0" y="0"/>
                      <a:ext cx="3944620" cy="254820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F0901" w:rsidRPr="003A613B" w:rsidRDefault="00FF0901" w:rsidP="00FF0901">
      <w:pPr>
        <w:tabs>
          <w:tab w:val="right" w:pos="9781"/>
        </w:tabs>
        <w:rPr>
          <w:rFonts w:ascii="Tahoma" w:hAnsi="Tahoma" w:cs="Tahoma"/>
          <w:b/>
          <w:bCs/>
          <w:color w:val="000000"/>
          <w:sz w:val="20"/>
          <w:szCs w:val="16"/>
          <w:shd w:val="clear" w:color="auto" w:fill="FFFFFF"/>
        </w:rPr>
      </w:pPr>
    </w:p>
    <w:p w:rsidR="00FF0901" w:rsidRPr="00ED69F4" w:rsidRDefault="00FF0901" w:rsidP="00FF0901">
      <w:pPr>
        <w:jc w:val="right"/>
        <w:rPr>
          <w:rFonts w:ascii="Tahoma" w:hAnsi="Tahoma" w:cs="Tahoma"/>
          <w:caps/>
          <w:color w:val="009999"/>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FF0901" w:rsidRDefault="00FF0901" w:rsidP="00FF0901">
      <w:pPr>
        <w:jc w:val="center"/>
        <w:rPr>
          <w:rFonts w:ascii="Tahoma" w:hAnsi="Tahoma" w:cs="Tahoma"/>
          <w:color w:val="009999"/>
          <w:sz w:val="36"/>
          <w:shd w:val="clear" w:color="auto" w:fill="FFFFFF"/>
          <w14:textOutline w14:w="0" w14:cap="flat" w14:cmpd="sng" w14:algn="ctr">
            <w14:noFill/>
            <w14:prstDash w14:val="solid"/>
            <w14:round/>
          </w14:textOutline>
        </w:rPr>
      </w:pPr>
    </w:p>
    <w:p w:rsidR="00FF0901" w:rsidRDefault="00FF0901" w:rsidP="00FF0901">
      <w:pPr>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59264" behindDoc="0" locked="0" layoutInCell="1" allowOverlap="1" wp14:anchorId="7373951F" wp14:editId="342CBE13">
                <wp:simplePos x="0" y="0"/>
                <wp:positionH relativeFrom="column">
                  <wp:posOffset>2632710</wp:posOffset>
                </wp:positionH>
                <wp:positionV relativeFrom="paragraph">
                  <wp:posOffset>230505</wp:posOffset>
                </wp:positionV>
                <wp:extent cx="885825" cy="683895"/>
                <wp:effectExtent l="0" t="0" r="9525" b="1905"/>
                <wp:wrapNone/>
                <wp:docPr id="29" name="Triángulo isósceles 29"/>
                <wp:cNvGraphicFramePr/>
                <a:graphic xmlns:a="http://schemas.openxmlformats.org/drawingml/2006/main">
                  <a:graphicData uri="http://schemas.microsoft.com/office/word/2010/wordprocessingShape">
                    <wps:wsp>
                      <wps:cNvSpPr/>
                      <wps:spPr>
                        <a:xfrm>
                          <a:off x="0" y="0"/>
                          <a:ext cx="885825" cy="683895"/>
                        </a:xfrm>
                        <a:prstGeom prst="triangle">
                          <a:avLst>
                            <a:gd name="adj" fmla="val 70886"/>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2DEF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29" o:spid="_x0000_s1026" type="#_x0000_t5" style="position:absolute;margin-left:207.3pt;margin-top:18.15pt;width:69.75pt;height:5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" adj="15311" fillcolor="white [3212]" stroked="f" strokeweight="1pt"/>
            </w:pict>
          </mc:Fallback>
        </mc:AlternateContent>
      </w:r>
    </w:p>
    <w:p w:rsidR="00FF0901" w:rsidRDefault="006F6022" w:rsidP="00FF0901">
      <w:pPr>
        <w:jc w:val="center"/>
        <w:rPr>
          <w:rFonts w:ascii="Tahoma" w:hAnsi="Tahoma" w:cs="Tahoma"/>
          <w:color w:val="009999"/>
          <w:sz w:val="36"/>
          <w:shd w:val="clear" w:color="auto" w:fill="FFFFFF"/>
          <w14:textOutline w14:w="0" w14:cap="flat" w14:cmpd="sng" w14:algn="ctr">
            <w14:noFill/>
            <w14:prstDash w14:val="solid"/>
            <w14:round/>
          </w14:textOutline>
        </w:rPr>
      </w:pPr>
      <w:r w:rsidRPr="00D243FF">
        <w:rPr>
          <w:rFonts w:ascii="Tahoma" w:hAnsi="Tahoma" w:cs="Tahoma"/>
          <w:b/>
          <w:bCs/>
          <w:noProof/>
          <w:color w:val="000000"/>
          <w:sz w:val="20"/>
          <w:szCs w:val="16"/>
          <w:shd w:val="clear" w:color="auto" w:fill="FFFFFF"/>
          <w:lang w:val="es-ES_tradnl" w:eastAsia="es-ES_tradnl"/>
        </w:rPr>
        <mc:AlternateContent>
          <mc:Choice Requires="wps">
            <w:drawing>
              <wp:anchor distT="0" distB="0" distL="114300" distR="114300" simplePos="0" relativeHeight="251660288" behindDoc="0" locked="0" layoutInCell="1" allowOverlap="1" wp14:anchorId="0254BE1A" wp14:editId="080DA3A5">
                <wp:simplePos x="0" y="0"/>
                <wp:positionH relativeFrom="page">
                  <wp:posOffset>3829050</wp:posOffset>
                </wp:positionH>
                <wp:positionV relativeFrom="paragraph">
                  <wp:posOffset>120015</wp:posOffset>
                </wp:positionV>
                <wp:extent cx="36639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901" w:rsidRPr="00E802B7" w:rsidRDefault="00FF0901" w:rsidP="00FF0901">
                            <w:pPr>
                              <w:jc w:val="right"/>
                              <w:rPr>
                                <w:rFonts w:ascii="Tahoma" w:hAnsi="Tahoma" w:cs="Tahoma"/>
                                <w:b/>
                                <w:color w:val="993366"/>
                                <w:sz w:val="32"/>
                                <w14:textOutline w14:w="952" w14:cap="flat" w14:cmpd="sng" w14:algn="ctr">
                                  <w14:noFill/>
                                  <w14:prstDash w14:val="solid"/>
                                  <w14:round/>
                                </w14:textOutline>
                              </w:rPr>
                            </w:pPr>
                            <w:r>
                              <w:rPr>
                                <w:rFonts w:ascii="Tahoma" w:hAnsi="Tahoma" w:cs="Tahoma"/>
                                <w:b/>
                                <w:color w:val="993366"/>
                                <w:sz w:val="28"/>
                                <w14:textOutline w14:w="952" w14:cap="flat" w14:cmpd="sng" w14:algn="ctr">
                                  <w14:noFill/>
                                  <w14:prstDash w14:val="solid"/>
                                  <w14:round/>
                                </w14:textOutline>
                              </w:rPr>
                              <w:t xml:space="preserve">Diciembre </w:t>
                            </w:r>
                            <w:r w:rsidRPr="00E802B7">
                              <w:rPr>
                                <w:rFonts w:ascii="Tahoma" w:hAnsi="Tahoma" w:cs="Tahoma"/>
                                <w:b/>
                                <w:color w:val="993366"/>
                                <w:sz w:val="28"/>
                                <w14:textOutline w14:w="952" w14:cap="flat" w14:cmpd="sng" w14:algn="ctr">
                                  <w14:noFill/>
                                  <w14:prstDash w14:val="solid"/>
                                  <w14:round/>
                                </w14:textOutline>
                              </w:rPr>
                              <w:t xml:space="preserve">2017 / </w:t>
                            </w:r>
                            <w:r w:rsidRPr="00E802B7">
                              <w:rPr>
                                <w:rFonts w:ascii="Tahoma" w:hAnsi="Tahoma" w:cs="Tahoma"/>
                                <w:b/>
                                <w:color w:val="993366"/>
                                <w:sz w:val="44"/>
                                <w14:textOutline w14:w="952" w14:cap="flat" w14:cmpd="sng" w14:algn="ctr">
                                  <w14:noFill/>
                                  <w14:prstDash w14:val="solid"/>
                                  <w14:round/>
                                </w14:textOutline>
                              </w:rPr>
                              <w:t xml:space="preserve">No.  </w:t>
                            </w:r>
                            <w:r>
                              <w:rPr>
                                <w:rFonts w:ascii="Tahoma" w:hAnsi="Tahoma" w:cs="Tahoma"/>
                                <w:b/>
                                <w:color w:val="993366"/>
                                <w:sz w:val="44"/>
                                <w14:textOutline w14:w="952" w14:cap="flat" w14:cmpd="sng" w14:algn="ctr">
                                  <w14:noFill/>
                                  <w14:prstDash w14:val="solid"/>
                                  <w14:round/>
                                </w14:textOutline>
                              </w:rPr>
                              <w:t>22</w:t>
                            </w:r>
                            <w:r w:rsidRPr="00E802B7">
                              <w:rPr>
                                <w:rFonts w:ascii="Tahoma" w:hAnsi="Tahoma" w:cs="Tahoma"/>
                                <w:b/>
                                <w:color w:val="993366"/>
                                <w:sz w:val="32"/>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54BE1A" id="_x0000_t202" coordsize="21600,21600" o:spt="202" path="m,l,21600r21600,l21600,xe">
                <v:stroke joinstyle="miter"/>
                <v:path gradientshapeok="t" o:connecttype="rect"/>
              </v:shapetype>
              <v:shape id="Cuadro de texto 2" o:spid="_x0000_s1026" type="#_x0000_t202" style="position:absolute;left:0;text-align:left;margin-left:301.5pt;margin-top:9.45pt;width:288.5pt;height:3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yp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" filled="f" stroked="f">
                <v:textbox>
                  <w:txbxContent>
                    <w:p w:rsidR="00FF0901" w:rsidRPr="00E802B7" w:rsidRDefault="00FF0901" w:rsidP="00FF0901">
                      <w:pPr>
                        <w:jc w:val="right"/>
                        <w:rPr>
                          <w:rFonts w:ascii="Tahoma" w:hAnsi="Tahoma" w:cs="Tahoma"/>
                          <w:b/>
                          <w:color w:val="993366"/>
                          <w:sz w:val="32"/>
                          <w14:textOutline w14:w="952" w14:cap="flat" w14:cmpd="sng" w14:algn="ctr">
                            <w14:noFill/>
                            <w14:prstDash w14:val="solid"/>
                            <w14:round/>
                          </w14:textOutline>
                        </w:rPr>
                      </w:pPr>
                      <w:r>
                        <w:rPr>
                          <w:rFonts w:ascii="Tahoma" w:hAnsi="Tahoma" w:cs="Tahoma"/>
                          <w:b/>
                          <w:color w:val="993366"/>
                          <w:sz w:val="28"/>
                          <w14:textOutline w14:w="952" w14:cap="flat" w14:cmpd="sng" w14:algn="ctr">
                            <w14:noFill/>
                            <w14:prstDash w14:val="solid"/>
                            <w14:round/>
                          </w14:textOutline>
                        </w:rPr>
                        <w:t xml:space="preserve">Diciembre </w:t>
                      </w:r>
                      <w:r w:rsidRPr="00E802B7">
                        <w:rPr>
                          <w:rFonts w:ascii="Tahoma" w:hAnsi="Tahoma" w:cs="Tahoma"/>
                          <w:b/>
                          <w:color w:val="993366"/>
                          <w:sz w:val="28"/>
                          <w14:textOutline w14:w="952" w14:cap="flat" w14:cmpd="sng" w14:algn="ctr">
                            <w14:noFill/>
                            <w14:prstDash w14:val="solid"/>
                            <w14:round/>
                          </w14:textOutline>
                        </w:rPr>
                        <w:t xml:space="preserve">2017 / </w:t>
                      </w:r>
                      <w:r w:rsidRPr="00E802B7">
                        <w:rPr>
                          <w:rFonts w:ascii="Tahoma" w:hAnsi="Tahoma" w:cs="Tahoma"/>
                          <w:b/>
                          <w:color w:val="993366"/>
                          <w:sz w:val="44"/>
                          <w14:textOutline w14:w="952" w14:cap="flat" w14:cmpd="sng" w14:algn="ctr">
                            <w14:noFill/>
                            <w14:prstDash w14:val="solid"/>
                            <w14:round/>
                          </w14:textOutline>
                        </w:rPr>
                        <w:t xml:space="preserve">No.  </w:t>
                      </w:r>
                      <w:r>
                        <w:rPr>
                          <w:rFonts w:ascii="Tahoma" w:hAnsi="Tahoma" w:cs="Tahoma"/>
                          <w:b/>
                          <w:color w:val="993366"/>
                          <w:sz w:val="44"/>
                          <w14:textOutline w14:w="952" w14:cap="flat" w14:cmpd="sng" w14:algn="ctr">
                            <w14:noFill/>
                            <w14:prstDash w14:val="solid"/>
                            <w14:round/>
                          </w14:textOutline>
                        </w:rPr>
                        <w:t>2</w:t>
                      </w:r>
                      <w:r>
                        <w:rPr>
                          <w:rFonts w:ascii="Tahoma" w:hAnsi="Tahoma" w:cs="Tahoma"/>
                          <w:b/>
                          <w:color w:val="993366"/>
                          <w:sz w:val="44"/>
                          <w14:textOutline w14:w="952" w14:cap="flat" w14:cmpd="sng" w14:algn="ctr">
                            <w14:noFill/>
                            <w14:prstDash w14:val="solid"/>
                            <w14:round/>
                          </w14:textOutline>
                        </w:rPr>
                        <w:t>2</w:t>
                      </w:r>
                      <w:r w:rsidRPr="00E802B7">
                        <w:rPr>
                          <w:rFonts w:ascii="Tahoma" w:hAnsi="Tahoma" w:cs="Tahoma"/>
                          <w:b/>
                          <w:color w:val="993366"/>
                          <w:sz w:val="32"/>
                          <w14:textOutline w14:w="952" w14:cap="flat" w14:cmpd="sng" w14:algn="ctr">
                            <w14:noFill/>
                            <w14:prstDash w14:val="solid"/>
                            <w14:round/>
                          </w14:textOutline>
                        </w:rPr>
                        <w:t xml:space="preserve"> </w:t>
                      </w:r>
                    </w:p>
                  </w:txbxContent>
                </v:textbox>
                <w10:wrap anchorx="page"/>
              </v:shape>
            </w:pict>
          </mc:Fallback>
        </mc:AlternateContent>
      </w:r>
      <w:r w:rsidR="00FF0901">
        <w:rPr>
          <w:rFonts w:ascii="Tahoma" w:hAnsi="Tahoma" w:cs="Tahoma"/>
          <w:noProof/>
          <w:color w:val="009999"/>
          <w:sz w:val="36"/>
          <w:lang w:val="es-ES_tradnl" w:eastAsia="es-ES_tradnl"/>
        </w:rPr>
        <mc:AlternateContent>
          <mc:Choice Requires="wps">
            <w:drawing>
              <wp:anchor distT="0" distB="0" distL="114300" distR="114300" simplePos="0" relativeHeight="251665408" behindDoc="0" locked="0" layoutInCell="1" allowOverlap="1" wp14:anchorId="3384A376" wp14:editId="027FC76E">
                <wp:simplePos x="0" y="0"/>
                <wp:positionH relativeFrom="column">
                  <wp:posOffset>3058160</wp:posOffset>
                </wp:positionH>
                <wp:positionV relativeFrom="paragraph">
                  <wp:posOffset>167640</wp:posOffset>
                </wp:positionV>
                <wp:extent cx="4170680" cy="0"/>
                <wp:effectExtent l="0" t="0" r="20320" b="19050"/>
                <wp:wrapNone/>
                <wp:docPr id="28" name="Conector recto 28"/>
                <wp:cNvGraphicFramePr/>
                <a:graphic xmlns:a="http://schemas.openxmlformats.org/drawingml/2006/main">
                  <a:graphicData uri="http://schemas.microsoft.com/office/word/2010/wordprocessingShape">
                    <wps:wsp>
                      <wps:cNvCnPr/>
                      <wps:spPr>
                        <a:xfrm>
                          <a:off x="0" y="0"/>
                          <a:ext cx="4170680" cy="0"/>
                        </a:xfrm>
                        <a:prstGeom prst="line">
                          <a:avLst/>
                        </a:prstGeom>
                        <a:ln>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1DF143B" id="Conector recto 28"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0.8pt,13.2pt" to="569.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" strokecolor="#3cc" strokeweight=".5pt">
                <v:stroke joinstyle="miter"/>
              </v:line>
            </w:pict>
          </mc:Fallback>
        </mc:AlternateContent>
      </w:r>
      <w:r w:rsidR="00FF0901">
        <w:rPr>
          <w:rFonts w:ascii="Tahoma" w:hAnsi="Tahoma" w:cs="Tahoma"/>
          <w:noProof/>
          <w:color w:val="009999"/>
          <w:sz w:val="36"/>
          <w:lang w:val="es-ES_tradnl" w:eastAsia="es-ES_tradnl"/>
        </w:rPr>
        <mc:AlternateContent>
          <mc:Choice Requires="wps">
            <w:drawing>
              <wp:anchor distT="0" distB="0" distL="114300" distR="114300" simplePos="0" relativeHeight="251664384" behindDoc="0" locked="0" layoutInCell="1" allowOverlap="1" wp14:anchorId="7B12671A" wp14:editId="0C0A4DBB">
                <wp:simplePos x="0" y="0"/>
                <wp:positionH relativeFrom="column">
                  <wp:posOffset>3099435</wp:posOffset>
                </wp:positionH>
                <wp:positionV relativeFrom="paragraph">
                  <wp:posOffset>106680</wp:posOffset>
                </wp:positionV>
                <wp:extent cx="3948430" cy="0"/>
                <wp:effectExtent l="0" t="0" r="33020" b="19050"/>
                <wp:wrapNone/>
                <wp:docPr id="27" name="Conector recto 27"/>
                <wp:cNvGraphicFramePr/>
                <a:graphic xmlns:a="http://schemas.openxmlformats.org/drawingml/2006/main">
                  <a:graphicData uri="http://schemas.microsoft.com/office/word/2010/wordprocessingShape">
                    <wps:wsp>
                      <wps:cNvCnPr/>
                      <wps:spPr>
                        <a:xfrm>
                          <a:off x="0" y="0"/>
                          <a:ext cx="3948430" cy="0"/>
                        </a:xfrm>
                        <a:prstGeom prst="line">
                          <a:avLst/>
                        </a:prstGeom>
                        <a:ln>
                          <a:solidFill>
                            <a:srgbClr val="99003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1B3BA" id="Conector recto 27"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05pt,8.4pt" to="55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" strokecolor="#903" strokeweight=".5pt">
                <v:stroke joinstyle="miter"/>
              </v:line>
            </w:pict>
          </mc:Fallback>
        </mc:AlternateContent>
      </w:r>
    </w:p>
    <w:p w:rsidR="00FF0901" w:rsidRDefault="00FF0901" w:rsidP="00FF0901">
      <w:pPr>
        <w:tabs>
          <w:tab w:val="left" w:pos="2758"/>
        </w:tabs>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63360" behindDoc="0" locked="0" layoutInCell="1" allowOverlap="1" wp14:anchorId="0E4BAD44" wp14:editId="0842B648">
                <wp:simplePos x="0" y="0"/>
                <wp:positionH relativeFrom="column">
                  <wp:posOffset>-710565</wp:posOffset>
                </wp:positionH>
                <wp:positionV relativeFrom="paragraph">
                  <wp:posOffset>259715</wp:posOffset>
                </wp:positionV>
                <wp:extent cx="7543800" cy="0"/>
                <wp:effectExtent l="0" t="0" r="19050" b="19050"/>
                <wp:wrapNone/>
                <wp:docPr id="26" name="Conector recto 26"/>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3F478A" id="Conector recto 2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95pt,20.45pt" to="538.0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" strokecolor="teal" strokeweight=".5pt">
                <v:stroke joinstyle="miter"/>
              </v:line>
            </w:pict>
          </mc:Fallback>
        </mc:AlternateContent>
      </w:r>
    </w:p>
    <w:p w:rsidR="00FF0901" w:rsidRDefault="00FF0901" w:rsidP="00FF0901">
      <w:pPr>
        <w:jc w:val="center"/>
        <w:rPr>
          <w:rFonts w:ascii="Tahoma" w:hAnsi="Tahoma" w:cs="Tahoma"/>
          <w:color w:val="009999"/>
          <w:sz w:val="36"/>
          <w:shd w:val="clear" w:color="auto" w:fill="FFFFFF"/>
          <w14:textOutline w14:w="0" w14:cap="flat" w14:cmpd="sng" w14:algn="ctr">
            <w14:noFill/>
            <w14:prstDash w14:val="solid"/>
            <w14:round/>
          </w14:textOutline>
        </w:rPr>
      </w:pPr>
    </w:p>
    <w:p w:rsidR="00FF0901" w:rsidRPr="008A2665" w:rsidRDefault="00FF0901" w:rsidP="00FF0901">
      <w:pPr>
        <w:jc w:val="center"/>
        <w:rPr>
          <w:rFonts w:ascii="Tahoma" w:hAnsi="Tahoma" w:cs="Tahoma"/>
          <w:color w:val="009999"/>
          <w:sz w:val="36"/>
          <w:shd w:val="clear" w:color="auto" w:fill="FFFFFF"/>
          <w14:textOutline w14:w="0" w14:cap="flat" w14:cmpd="sng" w14:algn="ctr">
            <w14:noFill/>
            <w14:prstDash w14:val="solid"/>
            <w14:round/>
          </w14:textOutline>
        </w:rPr>
      </w:pPr>
      <w:r w:rsidRPr="008A2665">
        <w:rPr>
          <w:rFonts w:ascii="Tahoma" w:hAnsi="Tahoma" w:cs="Tahoma"/>
          <w:color w:val="009999"/>
          <w:sz w:val="36"/>
          <w:shd w:val="clear" w:color="auto" w:fill="FFFFFF"/>
          <w14:textOutline w14:w="0" w14:cap="flat" w14:cmpd="sng" w14:algn="ctr">
            <w14:noFill/>
            <w14:prstDash w14:val="solid"/>
            <w14:round/>
          </w14:textOutline>
        </w:rPr>
        <w:t xml:space="preserve">FUNCIÓN </w:t>
      </w:r>
      <w:r>
        <w:rPr>
          <w:rFonts w:ascii="Tahoma" w:hAnsi="Tahoma" w:cs="Tahoma"/>
          <w:color w:val="009999"/>
          <w:sz w:val="36"/>
          <w:shd w:val="clear" w:color="auto" w:fill="FFFFFF"/>
          <w14:textOutline w14:w="0" w14:cap="flat" w14:cmpd="sng" w14:algn="ctr">
            <w14:noFill/>
            <w14:prstDash w14:val="solid"/>
            <w14:round/>
          </w14:textOutline>
        </w:rPr>
        <w:t>EJECUTIVA</w:t>
      </w:r>
    </w:p>
    <w:p w:rsidR="00FF0901" w:rsidRPr="008A2665" w:rsidRDefault="00FF0901" w:rsidP="00FF0901">
      <w:pPr>
        <w:rPr>
          <w:rFonts w:ascii="Tahoma" w:eastAsia="Times New Roman" w:hAnsi="Tahoma" w:cs="Tahoma"/>
          <w:b/>
          <w:bCs/>
          <w:color w:val="006666"/>
          <w:sz w:val="8"/>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FF0901" w:rsidRPr="008A2665" w:rsidRDefault="00FF0901" w:rsidP="00FF0901">
      <w:pPr>
        <w:rPr>
          <w:rFonts w:ascii="Tahoma" w:eastAsia="Times New Roman" w:hAnsi="Tahoma" w:cs="Tahoma"/>
          <w:b/>
          <w:bCs/>
          <w:color w:val="006666"/>
          <w:sz w:val="18"/>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66584C" w:rsidRPr="00FF0901" w:rsidRDefault="00360855" w:rsidP="00FF0901">
      <w:pPr>
        <w:shd w:val="clear" w:color="auto" w:fill="FFFFFF"/>
        <w:rPr>
          <w:rFonts w:ascii="Arial" w:eastAsia="Times New Roman" w:hAnsi="Arial" w:cs="Arial"/>
          <w:b/>
          <w:color w:val="262626" w:themeColor="text1" w:themeTint="D9"/>
          <w:szCs w:val="48"/>
        </w:rPr>
      </w:pPr>
      <w:r w:rsidRPr="00FF0901">
        <w:rPr>
          <w:rFonts w:ascii="Arial" w:eastAsia="Times New Roman" w:hAnsi="Arial" w:cs="Arial"/>
          <w:b/>
          <w:color w:val="262626" w:themeColor="text1" w:themeTint="D9"/>
          <w:szCs w:val="48"/>
        </w:rPr>
        <w:t>Suplemen</w:t>
      </w:r>
      <w:r w:rsidR="00FF0901">
        <w:rPr>
          <w:rFonts w:ascii="Arial" w:eastAsia="Times New Roman" w:hAnsi="Arial" w:cs="Arial"/>
          <w:b/>
          <w:color w:val="262626" w:themeColor="text1" w:themeTint="D9"/>
          <w:szCs w:val="48"/>
        </w:rPr>
        <w:t>to del Registro Oficial No. 149</w:t>
      </w:r>
      <w:r w:rsidRPr="00FF0901">
        <w:rPr>
          <w:rFonts w:ascii="Arial" w:eastAsia="Times New Roman" w:hAnsi="Arial" w:cs="Arial"/>
          <w:b/>
          <w:color w:val="262626" w:themeColor="text1" w:themeTint="D9"/>
          <w:szCs w:val="48"/>
        </w:rPr>
        <w:t>, 28 de Diciembre 2017</w:t>
      </w:r>
    </w:p>
    <w:p w:rsidR="00CE10BE" w:rsidRDefault="00360855" w:rsidP="00CE10BE">
      <w:pPr>
        <w:shd w:val="clear" w:color="auto" w:fill="FFFFFF"/>
        <w:rPr>
          <w:rFonts w:ascii="Tahoma" w:eastAsia="Times New Roman" w:hAnsi="Tahoma" w:cs="Tahoma"/>
          <w:b/>
          <w:bCs/>
          <w:color w:val="006666"/>
          <w:sz w:val="28"/>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FF0901">
        <w:rPr>
          <w:rFonts w:eastAsia="Times New Roman"/>
          <w:b/>
          <w:bCs/>
          <w:sz w:val="22"/>
          <w:szCs w:val="48"/>
          <w:lang w:val="es-ES"/>
        </w:rPr>
        <w:br/>
      </w:r>
    </w:p>
    <w:p w:rsidR="0066584C" w:rsidRPr="00FF0901" w:rsidRDefault="00360855" w:rsidP="00CE10BE">
      <w:pPr>
        <w:shd w:val="clear" w:color="auto" w:fill="FFFFFF"/>
        <w:rPr>
          <w:rFonts w:ascii="Tahoma" w:eastAsia="Times New Roman" w:hAnsi="Tahoma" w:cs="Tahoma"/>
          <w:b/>
          <w:bCs/>
          <w:color w:val="006666"/>
          <w:sz w:val="28"/>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FF0901">
        <w:rPr>
          <w:rFonts w:ascii="Tahoma" w:eastAsia="Times New Roman" w:hAnsi="Tahoma" w:cs="Tahoma"/>
          <w:b/>
          <w:bCs/>
          <w:color w:val="006666"/>
          <w:sz w:val="28"/>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SERVICIO DE RENTAS INTERNAS: </w:t>
      </w:r>
    </w:p>
    <w:p w:rsidR="00FF0901" w:rsidRDefault="00360855" w:rsidP="00FF0901">
      <w:pPr>
        <w:jc w:val="both"/>
        <w:rPr>
          <w:rFonts w:ascii="Arial" w:hAnsi="Arial" w:cs="Arial"/>
          <w:color w:val="37474F"/>
          <w:shd w:val="clear" w:color="auto" w:fill="FFFFFF"/>
        </w:rPr>
      </w:pPr>
      <w:r>
        <w:rPr>
          <w:rFonts w:eastAsia="Times New Roman"/>
          <w:sz w:val="30"/>
          <w:szCs w:val="30"/>
          <w:lang w:val="es-ES"/>
        </w:rPr>
        <w:br/>
      </w:r>
      <w:r w:rsidR="00FF0901">
        <w:rPr>
          <w:rStyle w:val="Hipervnculo"/>
          <w:rFonts w:ascii="Arial" w:hAnsi="Arial" w:cs="Arial"/>
          <w:b/>
          <w:bCs/>
          <w:color w:val="336699"/>
          <w:shd w:val="clear" w:color="auto" w:fill="FFFFFF"/>
        </w:rPr>
        <w:t xml:space="preserve">Resolución </w:t>
      </w:r>
      <w:r w:rsidRPr="00FF0901">
        <w:rPr>
          <w:rStyle w:val="Hipervnculo"/>
          <w:rFonts w:ascii="Arial" w:hAnsi="Arial" w:cs="Arial"/>
          <w:b/>
          <w:bCs/>
          <w:color w:val="336699"/>
          <w:shd w:val="clear" w:color="auto" w:fill="FFFFFF"/>
        </w:rPr>
        <w:t>NAC-DGERCGC17-00000604:</w:t>
      </w:r>
      <w:r>
        <w:rPr>
          <w:rFonts w:eastAsia="Times New Roman"/>
          <w:sz w:val="30"/>
          <w:szCs w:val="30"/>
          <w:lang w:val="es-ES"/>
        </w:rPr>
        <w:t xml:space="preserve"> </w:t>
      </w:r>
      <w:r w:rsidRPr="00FF0901">
        <w:rPr>
          <w:rFonts w:ascii="Arial" w:hAnsi="Arial" w:cs="Arial"/>
          <w:color w:val="37474F"/>
          <w:shd w:val="clear" w:color="auto" w:fill="FFFFFF"/>
        </w:rPr>
        <w:t>Refórmese la Resolución No. NAC-DGERCGC16-00000383, publicada en Suplemento del Registro Oficial No. 838 de 12 septiembre de 2016</w:t>
      </w:r>
      <w:r w:rsidR="00FF0901">
        <w:rPr>
          <w:rFonts w:ascii="Arial" w:hAnsi="Arial" w:cs="Arial"/>
          <w:color w:val="37474F"/>
          <w:shd w:val="clear" w:color="auto" w:fill="FFFFFF"/>
        </w:rPr>
        <w:t>.</w:t>
      </w:r>
    </w:p>
    <w:p w:rsidR="00FF0901" w:rsidRDefault="00FF0901" w:rsidP="00FF0901">
      <w:pPr>
        <w:jc w:val="both"/>
        <w:rPr>
          <w:rFonts w:eastAsia="Times New Roman"/>
          <w:sz w:val="30"/>
          <w:szCs w:val="30"/>
          <w:lang w:val="es-ES"/>
        </w:rPr>
      </w:pPr>
    </w:p>
    <w:p w:rsidR="00FF0901" w:rsidRDefault="00FF0901" w:rsidP="00FF0901">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p>
    <w:p w:rsidR="00FF0901" w:rsidRDefault="00FF0901">
      <w:pPr>
        <w:rPr>
          <w:rFonts w:eastAsia="Times New Roman"/>
          <w:sz w:val="30"/>
          <w:szCs w:val="30"/>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1.- </w:t>
      </w:r>
      <w:r w:rsidRPr="00FF0901">
        <w:rPr>
          <w:rFonts w:ascii="Tahoma" w:eastAsia="Times New Roman" w:hAnsi="Tahoma" w:cs="Tahoma"/>
          <w:sz w:val="16"/>
          <w:szCs w:val="16"/>
          <w:lang w:val="es-ES"/>
        </w:rPr>
        <w:t>Reformar el artículo 1 de la Resolución No. NAC-DGERCGC16-00000383 de 08 de septiembre de 2016, publicada en el Suplemento del Registro Oficial No. 838 de 12 de los mismos mes y año, en los siguientes términos: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a) En el numeral 11, sustituir el literal b) por el siguiente: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"b) Suscribir las acciones de personal de cesación de funciones por renuncia o muerte; traspasos, traslados o cambios administrativos; nombramientos permanentes, una vez superado el correspondiente periodo de prueba; subrogaciones; encargos; y licencias por asuntos particulares de servidores no incluidos en el nivel jerárquico superior;".</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b) Eliminar el numeral 21.</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General Única.- </w:t>
      </w:r>
      <w:r w:rsidRPr="00FF0901">
        <w:rPr>
          <w:rFonts w:ascii="Tahoma" w:eastAsia="Times New Roman" w:hAnsi="Tahoma" w:cs="Tahoma"/>
          <w:sz w:val="16"/>
          <w:szCs w:val="16"/>
          <w:lang w:val="es-ES"/>
        </w:rPr>
        <w:t>Esta resolución entrará en vigencia a partir de su publicación en el Registro Oficial.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p>
    <w:p w:rsidR="00FF0901" w:rsidRPr="00FF0901" w:rsidRDefault="00FF0901" w:rsidP="00FF0901">
      <w:pPr>
        <w:jc w:val="both"/>
        <w:rPr>
          <w:rFonts w:ascii="Arial" w:hAnsi="Arial" w:cs="Arial"/>
          <w:color w:val="37474F"/>
          <w:shd w:val="clear" w:color="auto" w:fill="FFFFFF"/>
        </w:rPr>
      </w:pPr>
      <w:r>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NAC-DGERCGC17-00000615</w:t>
      </w:r>
      <w:r w:rsidR="00360855" w:rsidRPr="00FF0901">
        <w:rPr>
          <w:color w:val="37474F"/>
        </w:rPr>
        <w:t xml:space="preserve">: </w:t>
      </w:r>
      <w:r w:rsidR="00360855" w:rsidRPr="00FF0901">
        <w:rPr>
          <w:rFonts w:ascii="Arial" w:hAnsi="Arial" w:cs="Arial"/>
          <w:color w:val="37474F"/>
          <w:shd w:val="clear" w:color="auto" w:fill="FFFFFF"/>
        </w:rPr>
        <w:t>Refórmese la Resolución No. DGERCGC13-00860, publicada en el Tercer Suplemento del Registro Oficial No. 147 de 19 diciembre de 2013</w:t>
      </w:r>
      <w:r w:rsidRPr="00FF0901">
        <w:rPr>
          <w:rFonts w:ascii="Arial" w:hAnsi="Arial" w:cs="Arial"/>
          <w:color w:val="37474F"/>
          <w:shd w:val="clear" w:color="auto" w:fill="FFFFFF"/>
        </w:rPr>
        <w:t>.</w:t>
      </w:r>
    </w:p>
    <w:p w:rsidR="00FF0901" w:rsidRDefault="00FF0901" w:rsidP="00FF0901">
      <w:pPr>
        <w:jc w:val="both"/>
        <w:rPr>
          <w:rFonts w:ascii="Tahoma" w:eastAsia="Times New Roman" w:hAnsi="Tahoma" w:cs="Tahoma"/>
          <w:b/>
          <w:bCs/>
          <w:sz w:val="16"/>
          <w:szCs w:val="16"/>
          <w:lang w:val="es-ES"/>
        </w:rPr>
      </w:pPr>
    </w:p>
    <w:p w:rsidR="00FF0901" w:rsidRDefault="00FF0901" w:rsidP="00FF0901">
      <w:pPr>
        <w:tabs>
          <w:tab w:val="left" w:pos="1860"/>
        </w:tabs>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p>
    <w:p w:rsidR="00FF0901" w:rsidRPr="00FF0901" w:rsidRDefault="00FF0901" w:rsidP="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Reformar la Resolución No. NAC-DGERCGC13-00860 y sus reformas mediante la cual</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se establecieron los valores de conversión del número</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de botellas plásticas no retornables, recuperadas o</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 xml:space="preserve">recolectadas, a su equivalente en kilogramos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Único.- </w:t>
      </w:r>
      <w:r w:rsidRPr="00FF0901">
        <w:rPr>
          <w:rFonts w:ascii="Tahoma" w:eastAsia="Times New Roman" w:hAnsi="Tahoma" w:cs="Tahoma"/>
          <w:sz w:val="16"/>
          <w:szCs w:val="16"/>
          <w:lang w:val="es-ES"/>
        </w:rPr>
        <w:t xml:space="preserve">Sustitúyase la tabla contenida en el numeral 2 del artículo 1 de la Resolución No. NAC-DGERCGC13-00860 publicada en el Tercer Suplemento del Registro Oficial No. 147 de 19 de diciembre de 2013 y sus reformas, por la siguiente: </w:t>
      </w:r>
    </w:p>
    <w:p w:rsidR="00FF0901" w:rsidRPr="00FF0901" w:rsidRDefault="00FF0901" w:rsidP="00FF0901">
      <w:pPr>
        <w:rPr>
          <w:rFonts w:ascii="Tahoma" w:eastAsia="Times New Roman" w:hAnsi="Tahoma" w:cs="Tahoma"/>
          <w:sz w:val="16"/>
          <w:szCs w:val="16"/>
          <w:lang w:val="es-ES"/>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03"/>
        <w:gridCol w:w="3103"/>
        <w:gridCol w:w="2857"/>
      </w:tblGrid>
      <w:tr w:rsidR="00FF0901" w:rsidRPr="00FF0901" w:rsidTr="00292C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b/>
                <w:bCs/>
                <w:sz w:val="16"/>
                <w:szCs w:val="16"/>
              </w:rPr>
              <w:t>PERÍODO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b/>
                <w:bCs/>
                <w:sz w:val="16"/>
                <w:szCs w:val="16"/>
              </w:rPr>
              <w:t>TARIFA EN USD POR KG.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b/>
                <w:bCs/>
                <w:sz w:val="16"/>
                <w:szCs w:val="16"/>
              </w:rPr>
              <w:t>No. DE BOTELLAS PLÁSTICAS PET </w:t>
            </w:r>
          </w:p>
        </w:tc>
      </w:tr>
      <w:tr w:rsidR="00FF0901" w:rsidRPr="00FF0901" w:rsidTr="00292C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sz w:val="16"/>
                <w:szCs w:val="16"/>
              </w:rPr>
              <w:t>Enero a junio del 2018</w:t>
            </w:r>
          </w:p>
        </w:tc>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sz w:val="16"/>
                <w:szCs w:val="16"/>
              </w:rPr>
              <w:t>USD 0,42 por Kg. de botellas plásticas PET</w:t>
            </w:r>
          </w:p>
        </w:tc>
        <w:tc>
          <w:tcPr>
            <w:tcW w:w="0" w:type="auto"/>
            <w:tcBorders>
              <w:top w:val="outset" w:sz="6" w:space="0" w:color="auto"/>
              <w:left w:val="outset" w:sz="6" w:space="0" w:color="auto"/>
              <w:bottom w:val="outset" w:sz="6" w:space="0" w:color="auto"/>
              <w:right w:val="outset" w:sz="6" w:space="0" w:color="auto"/>
            </w:tcBorders>
            <w:vAlign w:val="center"/>
            <w:hideMark/>
          </w:tcPr>
          <w:p w:rsidR="00FF0901" w:rsidRPr="00FF0901" w:rsidRDefault="00FF0901" w:rsidP="00292C10">
            <w:pPr>
              <w:rPr>
                <w:rFonts w:ascii="Tahoma" w:eastAsia="Times New Roman" w:hAnsi="Tahoma" w:cs="Tahoma"/>
                <w:sz w:val="16"/>
                <w:szCs w:val="16"/>
              </w:rPr>
            </w:pPr>
            <w:r w:rsidRPr="00FF0901">
              <w:rPr>
                <w:rFonts w:ascii="Tahoma" w:eastAsia="Times New Roman" w:hAnsi="Tahoma" w:cs="Tahoma"/>
                <w:sz w:val="16"/>
                <w:szCs w:val="16"/>
              </w:rPr>
              <w:t>21 Botellas plásticas PET por Kg.</w:t>
            </w:r>
          </w:p>
        </w:tc>
      </w:tr>
    </w:tbl>
    <w:p w:rsidR="00FF0901" w:rsidRDefault="00FF0901" w:rsidP="00FF0901">
      <w:pPr>
        <w:rPr>
          <w:rFonts w:ascii="Tahoma" w:eastAsia="Times New Roman" w:hAnsi="Tahoma" w:cs="Tahoma"/>
          <w:b/>
          <w:bCs/>
          <w:sz w:val="16"/>
          <w:szCs w:val="16"/>
          <w:lang w:val="es-ES"/>
        </w:rPr>
      </w:pPr>
    </w:p>
    <w:p w:rsidR="00FF0901" w:rsidRDefault="00FF0901" w:rsidP="00FF0901">
      <w:pPr>
        <w:jc w:val="both"/>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del 01 de enero de 2018.</w:t>
      </w:r>
    </w:p>
    <w:p w:rsidR="00FF0901" w:rsidRDefault="00FF0901" w:rsidP="00FF0901">
      <w:pPr>
        <w:jc w:val="both"/>
        <w:rPr>
          <w:rFonts w:ascii="Tahoma" w:eastAsia="Times New Roman" w:hAnsi="Tahoma" w:cs="Tahoma"/>
          <w:b/>
          <w:bCs/>
          <w:sz w:val="16"/>
          <w:szCs w:val="16"/>
          <w:lang w:val="es-ES"/>
        </w:rPr>
      </w:pPr>
      <w:r w:rsidRPr="00FF0901">
        <w:rPr>
          <w:rFonts w:ascii="Tahoma" w:eastAsia="Times New Roman" w:hAnsi="Tahoma" w:cs="Tahoma"/>
          <w:sz w:val="16"/>
          <w:szCs w:val="16"/>
          <w:lang w:val="es-ES"/>
        </w:rPr>
        <w:lastRenderedPageBreak/>
        <w:br/>
      </w:r>
      <w:r w:rsidR="00360855">
        <w:rPr>
          <w:rFonts w:eastAsia="Times New Roman"/>
          <w:sz w:val="30"/>
          <w:szCs w:val="30"/>
          <w:lang w:val="es-ES"/>
        </w:rPr>
        <w:br/>
      </w:r>
      <w:r>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NAC-DGERCGC17-00000616:</w:t>
      </w:r>
      <w:r w:rsidR="00360855">
        <w:rPr>
          <w:rFonts w:eastAsia="Times New Roman"/>
          <w:sz w:val="30"/>
          <w:szCs w:val="30"/>
          <w:lang w:val="es-ES"/>
        </w:rPr>
        <w:t xml:space="preserve"> </w:t>
      </w:r>
      <w:r w:rsidR="00360855" w:rsidRPr="00FF0901">
        <w:rPr>
          <w:rFonts w:ascii="Arial" w:hAnsi="Arial" w:cs="Arial"/>
          <w:color w:val="37474F"/>
          <w:shd w:val="clear" w:color="auto" w:fill="FFFFFF"/>
        </w:rPr>
        <w:t>Establécense las normas para el registro y publicación de listado de proveedores e impresoras y máquinas fiscales</w:t>
      </w:r>
      <w:r w:rsidRPr="00FF0901">
        <w:rPr>
          <w:rFonts w:ascii="Arial" w:hAnsi="Arial" w:cs="Arial"/>
          <w:color w:val="37474F"/>
          <w:shd w:val="clear" w:color="auto" w:fill="FFFFFF"/>
        </w:rPr>
        <w:t>.</w:t>
      </w:r>
      <w:r w:rsidR="00360855" w:rsidRPr="00FF0901">
        <w:rPr>
          <w:rFonts w:ascii="Arial" w:hAnsi="Arial" w:cs="Arial"/>
          <w:color w:val="37474F"/>
          <w:shd w:val="clear" w:color="auto" w:fill="FFFFFF"/>
        </w:rPr>
        <w:br/>
      </w:r>
    </w:p>
    <w:p w:rsidR="00FF0901" w:rsidRDefault="00FF0901" w:rsidP="00FF0901">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p>
    <w:p w:rsidR="00FF0901" w:rsidRDefault="00FF0901" w:rsidP="00FF0901">
      <w:pPr>
        <w:jc w:val="center"/>
        <w:rPr>
          <w:rFonts w:ascii="Tahoma" w:eastAsia="Times New Roman" w:hAnsi="Tahoma" w:cs="Tahoma"/>
          <w:b/>
          <w:bCs/>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las normas para el de registro y</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publicación de listado de proveedores e impresoras y</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máquinas fiscales.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Capítulo I</w:t>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Disposiciones aplicables a los proveedores de</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impresoras y máquinas fiscales</w:t>
      </w:r>
    </w:p>
    <w:p w:rsidR="00FF0901" w:rsidRDefault="00FF0901" w:rsidP="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1.- </w:t>
      </w:r>
      <w:r w:rsidRPr="00FF0901">
        <w:rPr>
          <w:rFonts w:ascii="Tahoma" w:eastAsia="Times New Roman" w:hAnsi="Tahoma" w:cs="Tahoma"/>
          <w:sz w:val="16"/>
          <w:szCs w:val="16"/>
          <w:lang w:val="es-ES"/>
        </w:rPr>
        <w:t>El Servicio de Rentas Internas será el encargado de registrar los proveedores de impresoras y máquinas fiscales, para su comercialización y distribución.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el efecto el proveedor deberá ingresar una solicitud de registro en las ventanillas de Secretaría de cualquier oficina del Servicio de Rentas Internas a nivel nacional. A dicha solicitud se deberá adjuntar el detalle las marcas y modelos de impresoras y máquinas fiscales que se comercializarán en el país.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ejecutar el registro de proveedores de impresoras y máquinas fiscales, se verificará que el proveedor esté autorizado para emitir comprobantes de venta electrónicos en ambiente de pruebas y producción, y que las máquinas que se van a registrar cumplan con las especificaciones de la "Ficha Técnica" así como los requisitos adicionales de unicidad y especificaciones detalladas en los archivos, "XML" y "XSD", que el Servicio de Rentas Internas publique en su página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2.- </w:t>
      </w:r>
      <w:r w:rsidRPr="00FF0901">
        <w:rPr>
          <w:rFonts w:ascii="Tahoma" w:eastAsia="Times New Roman" w:hAnsi="Tahoma" w:cs="Tahoma"/>
          <w:sz w:val="16"/>
          <w:szCs w:val="16"/>
          <w:lang w:val="es-ES"/>
        </w:rPr>
        <w:t>Los proveedores registrados por el Servicio de Rentas Internas deberán cumplir con los siguientes deberes: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a) Realizar inspecciones anuales a sus clientes con el fin de garantizar el correcto funcionamiento de sus equipos y la conservación de los datos de los sujetos pasivos considerando el plazo máximo de prescripción de las obligaciones tributarias.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b) Mantener una bitácora en la que se detallen las inspecciones realizadas a sus clientes, así como los incidentes que se hubieren presentado en las mismas, de ser el caso.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3.- </w:t>
      </w:r>
      <w:r w:rsidRPr="00FF0901">
        <w:rPr>
          <w:rFonts w:ascii="Tahoma" w:eastAsia="Times New Roman" w:hAnsi="Tahoma" w:cs="Tahoma"/>
          <w:sz w:val="16"/>
          <w:szCs w:val="16"/>
          <w:lang w:val="es-ES"/>
        </w:rPr>
        <w:t>El Servicio de Rentas Internas publicará a través de su portal web institucional el listado de proveedores de impresoras y máquinas fiscales registrados, así como los modelos y marcas que serán comercializados por los mismos.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En caso de que el proveedor disponga de nuevas marcas y/o modelos de máquinas o impresoras fiscales deberá solicitar a la Administración Tributaria la revisión y registro de las mismas.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4.- </w:t>
      </w:r>
      <w:r w:rsidRPr="00FF0901">
        <w:rPr>
          <w:rFonts w:ascii="Tahoma" w:eastAsia="Times New Roman" w:hAnsi="Tahoma" w:cs="Tahoma"/>
          <w:sz w:val="16"/>
          <w:szCs w:val="16"/>
          <w:lang w:val="es-ES"/>
        </w:rPr>
        <w:t>Si la Administración Tributaria llegare a detectar que los proveedores de impresoras y máquinas fiscales han incumplido con lo establecido en esta Resolución, retirará su registro y lo excluirá del listado publicado en el portal web institucional, sin perjuicio de las sanciones establecidas en la normativa tributaria vigente.</w:t>
      </w:r>
    </w:p>
    <w:p w:rsidR="00FF0901" w:rsidRDefault="00FF0901" w:rsidP="00FF0901">
      <w:pPr>
        <w:rPr>
          <w:rFonts w:ascii="Tahoma" w:eastAsia="Times New Roman" w:hAnsi="Tahoma" w:cs="Tahoma"/>
          <w:sz w:val="16"/>
          <w:szCs w:val="16"/>
          <w:lang w:val="es-ES"/>
        </w:rPr>
      </w:pPr>
    </w:p>
    <w:p w:rsidR="00FF0901" w:rsidRDefault="00FF0901" w:rsidP="00FF0901">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Capítulo II</w:t>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Disposiciones aplicables a los contribuyentes titulares</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de impresoras y máquinas fiscales</w:t>
      </w:r>
    </w:p>
    <w:p w:rsidR="00FF0901" w:rsidRDefault="00FF0901" w:rsidP="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5.- </w:t>
      </w:r>
      <w:r w:rsidRPr="00FF0901">
        <w:rPr>
          <w:rFonts w:ascii="Tahoma" w:eastAsia="Times New Roman" w:hAnsi="Tahoma" w:cs="Tahoma"/>
          <w:sz w:val="16"/>
          <w:szCs w:val="16"/>
          <w:lang w:val="es-ES"/>
        </w:rPr>
        <w:t>Los sujetos pasivos que hagan uso de las máquinas e impresoras fiscales deberán registrar el modelo de la misma a través del sistema de comprobantes electrónicos disponible en el portal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6.- </w:t>
      </w:r>
      <w:r w:rsidRPr="00FF0901">
        <w:rPr>
          <w:rFonts w:ascii="Tahoma" w:eastAsia="Times New Roman" w:hAnsi="Tahoma" w:cs="Tahoma"/>
          <w:sz w:val="16"/>
          <w:szCs w:val="16"/>
          <w:lang w:val="es-ES"/>
        </w:rPr>
        <w:t>Los sujetos pasivos cuyos ingresos anuales del ejercicio fiscal anterior sean menores o iguales a los límites establecidos para medianas empresas, de conformidad con el Reglamento a la Estructura e Institucionalidad de Desarrollo Productivo de la Inversión y de los mecanismos e instrumentos de fomento productivo publicado en el Registro Oficial No. 450 de 17 de mayo de 2011 y sus reformas, que realicen ventas al retail o transacciones con consumidores finales y estén obligados a emitir comprobantes electrónicos, podrán utilizar las impresoras o máquinas fiscales que se encuentren publicadas en la página web del Servicio de Rentas Internas.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Articulo 7.- </w:t>
      </w:r>
      <w:r w:rsidRPr="00FF0901">
        <w:rPr>
          <w:rFonts w:ascii="Tahoma" w:eastAsia="Times New Roman" w:hAnsi="Tahoma" w:cs="Tahoma"/>
          <w:sz w:val="16"/>
          <w:szCs w:val="16"/>
          <w:lang w:val="es-ES"/>
        </w:rPr>
        <w:t>Para la emisión de comprobantes electrónicos a través de impresoras y/o máquinas fiscales, los sujetos pasivos deberán: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1. Presentar una solicitud al Servicio de Rentas Internas, a través del sistema en línea "Comprobantes Electrónicos" habilitado para el ambiente de pruebas y producción en el portal web institucional.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2. Registrar el proveedor, marca, modelo y serie de la impresora y/o máquina fiscal que van a utilizar, por cada punto de venta.</w:t>
      </w:r>
      <w:r w:rsidRPr="00FF0901">
        <w:rPr>
          <w:rFonts w:ascii="Tahoma" w:eastAsia="Times New Roman" w:hAnsi="Tahoma" w:cs="Tahoma"/>
          <w:sz w:val="16"/>
          <w:szCs w:val="16"/>
          <w:lang w:val="es-ES"/>
        </w:rPr>
        <w:br/>
        <w:t xml:space="preserve">En caso de que el sujeto pasivo cierre el punto de emisión y/o establecimiento o deje de utilizar la máquina o impresora </w:t>
      </w:r>
      <w:r w:rsidRPr="00FF0901">
        <w:rPr>
          <w:rFonts w:ascii="Tahoma" w:eastAsia="Times New Roman" w:hAnsi="Tahoma" w:cs="Tahoma"/>
          <w:sz w:val="16"/>
          <w:szCs w:val="16"/>
          <w:lang w:val="es-ES"/>
        </w:rPr>
        <w:lastRenderedPageBreak/>
        <w:t>fiscal, deberá dar de baja la misma a través del sistema en línea "Comprobantes Electrónicos" habilitado en la página web del Servicio de Rentas Internas.</w:t>
      </w:r>
    </w:p>
    <w:p w:rsidR="00FF0901" w:rsidRPr="00FF0901" w:rsidRDefault="00FF0901" w:rsidP="00FF0901">
      <w:pPr>
        <w:rPr>
          <w:rFonts w:ascii="Tahoma" w:eastAsia="Times New Roman" w:hAnsi="Tahoma" w:cs="Tahoma"/>
          <w:sz w:val="16"/>
          <w:szCs w:val="16"/>
          <w:lang w:val="es-ES"/>
        </w:rPr>
      </w:pPr>
    </w:p>
    <w:p w:rsidR="00FF0901" w:rsidRDefault="00FF0901" w:rsidP="00FF0901">
      <w:pPr>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DISPOSICIONES GENERALES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Primera.- </w:t>
      </w:r>
      <w:r w:rsidRPr="00FF0901">
        <w:rPr>
          <w:rFonts w:ascii="Tahoma" w:eastAsia="Times New Roman" w:hAnsi="Tahoma" w:cs="Tahoma"/>
          <w:sz w:val="16"/>
          <w:szCs w:val="16"/>
          <w:lang w:val="es-ES"/>
        </w:rPr>
        <w:t>Los comprobantes electrónicos que se emitan a través de máquinas e impresoras fiscales deberán estar firmados electrónicamente únicamente por el emisor. Será responsabilidad del emisor mantener vigente el certificado de firma electrónica utilizado y cumplir con lo dispuesto en la Ley de Comercio Electrónico, Firmas Electrónicas y Mensajes de Datos. Este certificado podrá extinguirse, suspenderse o revocarse de acuerdo a lo establecido en la mencionada Ley y su Reglamento.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Segunda.- </w:t>
      </w:r>
      <w:r w:rsidRPr="00FF0901">
        <w:rPr>
          <w:rFonts w:ascii="Tahoma" w:eastAsia="Times New Roman" w:hAnsi="Tahoma" w:cs="Tahoma"/>
          <w:sz w:val="16"/>
          <w:szCs w:val="16"/>
          <w:lang w:val="es-ES"/>
        </w:rPr>
        <w:t>Las máquinas e impresoras fiscales, una vez registradas en el sistema de Comprobantes Electrónicos del Servicio de Rentas Internas, solamente podrán ser utilizadas por el propio contribuyente, salvo aquellos casos en los que se haya dado de baja su registro y se encuentre habilitado para ser registrada por un nuevo contribuyente.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Tercera.- </w:t>
      </w:r>
      <w:r w:rsidRPr="00FF0901">
        <w:rPr>
          <w:rFonts w:ascii="Tahoma" w:eastAsia="Times New Roman" w:hAnsi="Tahoma" w:cs="Tahoma"/>
          <w:sz w:val="16"/>
          <w:szCs w:val="16"/>
          <w:lang w:val="es-ES"/>
        </w:rPr>
        <w:t>Todas las unidades del Servicio de Rentas Internas deberán considerar lo dispuesto en la presente Resolución dentro de sus respectivos procesos de control.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 su publicación en el Registro Oficial y será aplicable a partir del 01 de agosto de 2018.</w:t>
      </w:r>
      <w:r w:rsidRPr="00FF0901">
        <w:rPr>
          <w:rFonts w:ascii="Tahoma" w:eastAsia="Times New Roman" w:hAnsi="Tahoma" w:cs="Tahoma"/>
          <w:sz w:val="16"/>
          <w:szCs w:val="16"/>
          <w:lang w:val="es-ES"/>
        </w:rPr>
        <w:br/>
      </w:r>
    </w:p>
    <w:p w:rsidR="00FF0901" w:rsidRDefault="00FF0901" w:rsidP="00FF0901">
      <w:pPr>
        <w:rPr>
          <w:rStyle w:val="Hipervnculo"/>
          <w:rFonts w:ascii="Arial" w:hAnsi="Arial" w:cs="Arial"/>
          <w:b/>
          <w:bCs/>
          <w:color w:val="336699"/>
          <w:shd w:val="clear" w:color="auto" w:fill="FFFFFF"/>
        </w:rPr>
      </w:pPr>
    </w:p>
    <w:p w:rsidR="00FF0901" w:rsidRPr="00FF0901" w:rsidRDefault="00360855" w:rsidP="00FF0901">
      <w:pPr>
        <w:jc w:val="both"/>
        <w:rPr>
          <w:rFonts w:ascii="Arial" w:hAnsi="Arial" w:cs="Arial"/>
          <w:color w:val="37474F"/>
          <w:shd w:val="clear" w:color="auto" w:fill="FFFFFF"/>
        </w:rPr>
      </w:pPr>
      <w:r w:rsidRPr="00FF0901">
        <w:rPr>
          <w:rStyle w:val="Hipervnculo"/>
          <w:rFonts w:ascii="Arial" w:hAnsi="Arial" w:cs="Arial"/>
          <w:b/>
          <w:bCs/>
          <w:color w:val="336699"/>
          <w:shd w:val="clear" w:color="auto" w:fill="FFFFFF"/>
        </w:rPr>
        <w:t>NAC-DGERCGC17-00000617:</w:t>
      </w:r>
      <w:r>
        <w:rPr>
          <w:rFonts w:eastAsia="Times New Roman"/>
          <w:sz w:val="30"/>
          <w:szCs w:val="30"/>
          <w:lang w:val="es-ES"/>
        </w:rPr>
        <w:t xml:space="preserve"> </w:t>
      </w:r>
      <w:r w:rsidRPr="00FF0901">
        <w:rPr>
          <w:rFonts w:ascii="Arial" w:hAnsi="Arial" w:cs="Arial"/>
          <w:color w:val="37474F"/>
          <w:shd w:val="clear" w:color="auto" w:fill="FFFFFF"/>
        </w:rPr>
        <w:t>Refórmese la Resolución No. NAC-DGERCGC16-00000532, publicada en el Sexto Suplemento del Registro Oficial No. 913 de 30 de diciembre de 2016</w:t>
      </w:r>
      <w:r w:rsidR="00FF0901">
        <w:rPr>
          <w:rFonts w:ascii="Arial" w:hAnsi="Arial" w:cs="Arial"/>
          <w:color w:val="37474F"/>
          <w:shd w:val="clear" w:color="auto" w:fill="FFFFFF"/>
        </w:rPr>
        <w:t>.</w:t>
      </w:r>
      <w:r w:rsidRPr="00FF0901">
        <w:rPr>
          <w:rFonts w:ascii="Arial" w:hAnsi="Arial" w:cs="Arial"/>
          <w:color w:val="37474F"/>
          <w:shd w:val="clear" w:color="auto" w:fill="FFFFFF"/>
        </w:rPr>
        <w:t xml:space="preserve"> </w:t>
      </w:r>
    </w:p>
    <w:p w:rsidR="00FF0901" w:rsidRDefault="00FF0901" w:rsidP="00FF0901">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b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Reformar la Resolución No. NAC-DGERCGC16-00000532 publicada en el Sexto</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Suplemento del Registro Oficial 913 del 30 de</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diciembre de 2016</w:t>
      </w:r>
    </w:p>
    <w:p w:rsidR="00BF36CC" w:rsidRDefault="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Único.- </w:t>
      </w:r>
      <w:r w:rsidRPr="00FF0901">
        <w:rPr>
          <w:rFonts w:ascii="Tahoma" w:eastAsia="Times New Roman" w:hAnsi="Tahoma" w:cs="Tahoma"/>
          <w:sz w:val="16"/>
          <w:szCs w:val="16"/>
          <w:lang w:val="es-ES"/>
        </w:rPr>
        <w:t>Efectúense las siguientes reformas a la Resolución No. NAC-DGERCGC16-00000532 publicada en el Sexto Suplemento del Registro Oficial No. 913, del 30 de diciembre de 2016:</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1. En el literal a) del numeral 3 del artículo 2, sustitúyase el texto: </w:t>
      </w:r>
      <w:r w:rsidRPr="00FF0901">
        <w:rPr>
          <w:rFonts w:ascii="Tahoma" w:eastAsia="Times New Roman" w:hAnsi="Tahoma" w:cs="Tahoma"/>
          <w:i/>
          <w:iCs/>
          <w:sz w:val="16"/>
          <w:szCs w:val="16"/>
          <w:lang w:val="es-ES"/>
        </w:rPr>
        <w:t xml:space="preserve">"al último día laborable del mes de febrero" </w:t>
      </w:r>
      <w:r w:rsidRPr="00FF0901">
        <w:rPr>
          <w:rFonts w:ascii="Tahoma" w:eastAsia="Times New Roman" w:hAnsi="Tahoma" w:cs="Tahoma"/>
          <w:sz w:val="16"/>
          <w:szCs w:val="16"/>
          <w:lang w:val="es-ES"/>
        </w:rPr>
        <w:t xml:space="preserve">por el siguiente : </w:t>
      </w:r>
      <w:r w:rsidRPr="00FF0901">
        <w:rPr>
          <w:rFonts w:ascii="Tahoma" w:eastAsia="Times New Roman" w:hAnsi="Tahoma" w:cs="Tahoma"/>
          <w:i/>
          <w:iCs/>
          <w:sz w:val="16"/>
          <w:szCs w:val="16"/>
          <w:lang w:val="es-ES"/>
        </w:rPr>
        <w:t>"al 10 de abril".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2. Al final del literal d) del numeral 3 del artículo 2 numeral 3 literal d, incorpórese el siguiente texto:</w:t>
      </w:r>
      <w:r w:rsidRPr="00FF0901">
        <w:rPr>
          <w:rFonts w:ascii="Tahoma" w:eastAsia="Times New Roman" w:hAnsi="Tahoma" w:cs="Tahoma"/>
          <w:sz w:val="16"/>
          <w:szCs w:val="16"/>
          <w:lang w:val="es-ES"/>
        </w:rPr>
        <w:br/>
        <w:t>"</w:t>
      </w:r>
      <w:r w:rsidRPr="00FF0901">
        <w:rPr>
          <w:rFonts w:ascii="Tahoma" w:eastAsia="Times New Roman" w:hAnsi="Tahoma" w:cs="Tahoma"/>
          <w:i/>
          <w:iCs/>
          <w:sz w:val="16"/>
          <w:szCs w:val="16"/>
          <w:lang w:val="es-ES"/>
        </w:rPr>
        <w:t>En</w:t>
      </w:r>
      <w:r w:rsidRPr="00FF0901">
        <w:rPr>
          <w:rFonts w:ascii="Tahoma" w:eastAsia="Times New Roman" w:hAnsi="Tahoma" w:cs="Tahoma"/>
          <w:sz w:val="16"/>
          <w:szCs w:val="16"/>
          <w:lang w:val="es-ES"/>
        </w:rPr>
        <w:t xml:space="preserve"> </w:t>
      </w:r>
      <w:r w:rsidRPr="00FF0901">
        <w:rPr>
          <w:rFonts w:ascii="Tahoma" w:eastAsia="Times New Roman" w:hAnsi="Tahoma" w:cs="Tahoma"/>
          <w:i/>
          <w:iCs/>
          <w:sz w:val="16"/>
          <w:szCs w:val="16"/>
          <w:lang w:val="es-ES"/>
        </w:rPr>
        <w:t>ningún caso será aceptada como válida la segmentación atendiendo exclusivamente a un criterio proporcional, por la aplicación de los mismos factores a los rubros de un estado financiero ".</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3. A continuación del literal e) del numeral 3 del artículo 2, agréguense los siguientes literales: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f) Selección de la parte analizada.- A efectos de sustentar la selección de la parte analizada, al aplicar métodos de márgenes, se deberá atender a los criterios de disponibilidad y calidad de la información. Para el desarrollo del análisis de precios de transferencia, se deberá seleccionar a la parte local.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En caso de que la parte local no cumpla con los criterios previamente detallados, se podrá realizar el análisis con la otra parte, a fin de calcular el indicador de rentabilidad.</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g) Comparables ubicados en paraísos fiscales, jurisdicciones de menor imposición y/o regímenes fiscales preferentes.- La selección de comparables no podrá incluir compañías ubicadas en paraísos fiscales, jurisdicciones de menor imposición y/o</w:t>
      </w:r>
      <w:r w:rsidRPr="00FF0901">
        <w:rPr>
          <w:rFonts w:ascii="Tahoma" w:eastAsia="Times New Roman" w:hAnsi="Tahoma" w:cs="Tahoma"/>
          <w:sz w:val="16"/>
          <w:szCs w:val="16"/>
          <w:lang w:val="es-ES"/>
        </w:rPr>
        <w:t xml:space="preserve"> </w:t>
      </w:r>
      <w:r w:rsidRPr="00FF0901">
        <w:rPr>
          <w:rFonts w:ascii="Tahoma" w:eastAsia="Times New Roman" w:hAnsi="Tahoma" w:cs="Tahoma"/>
          <w:i/>
          <w:iCs/>
          <w:sz w:val="16"/>
          <w:szCs w:val="16"/>
          <w:lang w:val="es-ES"/>
        </w:rPr>
        <w:t>regímenes fiscales preferentes definidos como tales según la legislación tributaria ecuatoriana. "</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4. Sustitúyase el numeral 2 del artículo 3 por el siguiente: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"2. Justificación de los ajustes.- Los ajustes de comparabilidad (contables, de capital u otros) deberán realizarse una vez que se haya establecido, de manera cualitativa y cuantitativa, la necesidad de su aplicación y la razonabilidad técnica, tanto de su formulación como de su efecto en mejorar el grado de comparabilidad entre la situación económica de las operaciones analizadas y aquella de las comparables. La demostración cuantitativa correspondiente deberá realizarse con el mayor detalle posible, indicando la afectación al precio o indicador utilizado y, de aplicar, al rango de plena competencia.</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i/>
          <w:iCs/>
          <w:sz w:val="16"/>
          <w:szCs w:val="16"/>
          <w:lang w:val="es-ES"/>
        </w:rPr>
        <w:t>Para la consideración de ajustes contables a la información de la parte analizada o de los comparables seleccionados, deberá justificarse obligatoriamente la referencia de la práctica, principio o norma contable por la cual es necesaria la aplicación del ajuste. "</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 su publicación en el Registro Oficial y su aplicación será a partir del 1 de enero del 2018.</w:t>
      </w:r>
    </w:p>
    <w:p w:rsidR="00BF36CC" w:rsidRDefault="00FF0901" w:rsidP="00BF36CC">
      <w:pPr>
        <w:jc w:val="both"/>
        <w:rPr>
          <w:rFonts w:ascii="Arial" w:hAnsi="Arial" w:cs="Arial"/>
          <w:color w:val="37474F"/>
          <w:shd w:val="clear" w:color="auto" w:fill="FFFFFF"/>
        </w:rPr>
      </w:pPr>
      <w:r w:rsidRPr="00FF0901">
        <w:rPr>
          <w:rFonts w:ascii="Tahoma" w:eastAsia="Times New Roman" w:hAnsi="Tahoma" w:cs="Tahoma"/>
          <w:sz w:val="16"/>
          <w:szCs w:val="16"/>
          <w:lang w:val="es-ES"/>
        </w:rPr>
        <w:lastRenderedPageBreak/>
        <w:br/>
      </w:r>
      <w:r w:rsidR="00BF36CC">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NAC-DGERCGC17-00000618:</w:t>
      </w:r>
      <w:r w:rsidR="00360855">
        <w:rPr>
          <w:rFonts w:eastAsia="Times New Roman"/>
          <w:sz w:val="30"/>
          <w:szCs w:val="30"/>
          <w:lang w:val="es-ES"/>
        </w:rPr>
        <w:t xml:space="preserve"> </w:t>
      </w:r>
      <w:r w:rsidR="00360855" w:rsidRPr="00BF36CC">
        <w:rPr>
          <w:rFonts w:ascii="Arial" w:hAnsi="Arial" w:cs="Arial"/>
          <w:color w:val="37474F"/>
          <w:shd w:val="clear" w:color="auto" w:fill="FFFFFF"/>
        </w:rPr>
        <w:t>Establécese la metodología de indexación al límite aplicable a los precios de exportaciones de banano a partes relacionadas, a partir del ejercicio fiscal 2018</w:t>
      </w:r>
      <w:r w:rsidR="00BF36CC">
        <w:rPr>
          <w:rFonts w:ascii="Arial" w:hAnsi="Arial" w:cs="Arial"/>
          <w:color w:val="37474F"/>
          <w:shd w:val="clear" w:color="auto" w:fill="FFFFFF"/>
        </w:rPr>
        <w:t>.</w:t>
      </w:r>
      <w:r w:rsidR="00360855" w:rsidRPr="00BF36CC">
        <w:rPr>
          <w:rFonts w:ascii="Arial" w:hAnsi="Arial" w:cs="Arial"/>
          <w:color w:val="37474F"/>
          <w:shd w:val="clear" w:color="auto" w:fill="FFFFFF"/>
        </w:rPr>
        <w:t xml:space="preserve"> </w:t>
      </w:r>
    </w:p>
    <w:p w:rsidR="00FF0901" w:rsidRDefault="00FF0901" w:rsidP="00BF36CC">
      <w:pPr>
        <w:jc w:val="both"/>
        <w:rPr>
          <w:rFonts w:eastAsia="Times New Roman"/>
          <w:sz w:val="30"/>
          <w:szCs w:val="30"/>
          <w:lang w:val="es-ES"/>
        </w:rPr>
      </w:pPr>
    </w:p>
    <w:p w:rsidR="00FF0901" w:rsidRDefault="00FF0901" w:rsidP="00FF0901">
      <w:pPr>
        <w:spacing w:after="300"/>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 metodología de indexación al límite aplicable a los precios de exportaciones de banano a partes relacionadas, a partir del ejercicio fiscal 2018</w:t>
      </w:r>
    </w:p>
    <w:p w:rsidR="00FF0901" w:rsidRPr="00FF0901" w:rsidRDefault="00FF0901" w:rsidP="00FF0901">
      <w:pPr>
        <w:spacing w:after="300"/>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Artículo Único.- </w:t>
      </w:r>
      <w:r w:rsidRPr="00FF0901">
        <w:rPr>
          <w:rFonts w:ascii="Tahoma" w:eastAsia="Times New Roman" w:hAnsi="Tahoma" w:cs="Tahoma"/>
          <w:sz w:val="16"/>
          <w:szCs w:val="16"/>
          <w:lang w:val="es-ES"/>
        </w:rPr>
        <w:t>Establecer la metodología de indexación al límite de precios de exportación de banano, a partes relacionadas, que regirá a partir del 1 de enero de 2018.</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el efecto, se deberá utilizar la siguiente metodología:</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1. </w:t>
      </w:r>
      <w:r w:rsidRPr="00FF0901">
        <w:rPr>
          <w:rFonts w:ascii="Tahoma" w:eastAsia="Times New Roman" w:hAnsi="Tahoma" w:cs="Tahoma"/>
          <w:sz w:val="16"/>
          <w:szCs w:val="16"/>
          <w:u w:val="single"/>
          <w:lang w:val="es-ES"/>
        </w:rPr>
        <w:t>Indicador Internacional</w:t>
      </w:r>
      <w:r w:rsidRPr="00FF0901">
        <w:rPr>
          <w:rFonts w:ascii="Tahoma" w:eastAsia="Times New Roman" w:hAnsi="Tahoma" w:cs="Tahoma"/>
          <w:sz w:val="16"/>
          <w:szCs w:val="16"/>
          <w:lang w:val="es-ES"/>
        </w:rPr>
        <w:t xml:space="preserve">: Se utilizará el indicador mensual "BANANA, US" de Precios de Productos (Commodity Price Data), publicado por el sitio web del Banco Mundial </w:t>
      </w:r>
      <w:r w:rsidRPr="00FF0901">
        <w:rPr>
          <w:rFonts w:ascii="Tahoma" w:eastAsia="Times New Roman" w:hAnsi="Tahoma" w:cs="Tahoma"/>
          <w:sz w:val="16"/>
          <w:szCs w:val="16"/>
          <w:u w:val="single"/>
          <w:lang w:val="es-ES"/>
        </w:rPr>
        <w:t>http://www.worldbank.org/en/ research/commodity-markets</w:t>
      </w:r>
      <w:r w:rsidRPr="00FF0901">
        <w:rPr>
          <w:rFonts w:ascii="Tahoma" w:eastAsia="Times New Roman" w:hAnsi="Tahoma" w:cs="Tahoma"/>
          <w:sz w:val="16"/>
          <w:szCs w:val="16"/>
          <w:lang w:val="es-ES"/>
        </w:rPr>
        <w:t>.</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2. </w:t>
      </w:r>
      <w:r w:rsidRPr="00FF0901">
        <w:rPr>
          <w:rFonts w:ascii="Tahoma" w:eastAsia="Times New Roman" w:hAnsi="Tahoma" w:cs="Tahoma"/>
          <w:sz w:val="16"/>
          <w:szCs w:val="16"/>
          <w:u w:val="single"/>
          <w:lang w:val="es-ES"/>
        </w:rPr>
        <w:t>Cálculo del factor de ajuste</w:t>
      </w:r>
      <w:r w:rsidRPr="00FF0901">
        <w:rPr>
          <w:rFonts w:ascii="Tahoma" w:eastAsia="Times New Roman" w:hAnsi="Tahoma" w:cs="Tahoma"/>
          <w:sz w:val="16"/>
          <w:szCs w:val="16"/>
          <w:lang w:val="es-ES"/>
        </w:rPr>
        <w:t>: Se obtendrá con cuatro decimales el promedio simple del indicador para los doce meses transcurridos desde el mes de noviembre del año inmediato anterior, hasta el mes de octubre del año en curso; este resultado se dividirá para el promedio simple de noviembre del año 2013 a octubre del año 2014, es decir USD $ 0,9309.</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3. </w:t>
      </w:r>
      <w:r w:rsidRPr="00FF0901">
        <w:rPr>
          <w:rFonts w:ascii="Tahoma" w:eastAsia="Times New Roman" w:hAnsi="Tahoma" w:cs="Tahoma"/>
          <w:sz w:val="16"/>
          <w:szCs w:val="16"/>
          <w:u w:val="single"/>
          <w:lang w:val="es-ES"/>
        </w:rPr>
        <w:t>Límite indexado</w:t>
      </w:r>
      <w:r w:rsidRPr="00FF0901">
        <w:rPr>
          <w:rFonts w:ascii="Tahoma" w:eastAsia="Times New Roman" w:hAnsi="Tahoma" w:cs="Tahoma"/>
          <w:sz w:val="16"/>
          <w:szCs w:val="16"/>
          <w:lang w:val="es-ES"/>
        </w:rPr>
        <w:t>: Se multiplicará el límite establecido en la Ley Orgánica de Incentivos a la Producción y Prevención del Fraude Fiscal, publicada en el Suplemento del Registro Oficial No. 405 del 29 de diciembre de 2014, es decir cuarenta y cinco centavos de dólar de los Estados Unidos de América (USD $ 0,4500), por el factor de ajuste calculado conforme el numeral anterior. El resultado será el límite vigente a partir del 1 de enero del siguiente año.</w:t>
      </w:r>
    </w:p>
    <w:p w:rsidR="00FF0901" w:rsidRDefault="00FF0901" w:rsidP="00FF0901">
      <w:pPr>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DISPOSICIONES TRANSITORIAS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Primera.-</w:t>
      </w:r>
      <w:r w:rsidRPr="00FF0901">
        <w:rPr>
          <w:rFonts w:ascii="Tahoma" w:eastAsia="Times New Roman" w:hAnsi="Tahoma" w:cs="Tahoma"/>
          <w:sz w:val="16"/>
          <w:szCs w:val="16"/>
          <w:lang w:val="es-ES"/>
        </w:rPr>
        <w:t xml:space="preserve"> La metodología de indexación al límite de precios de exportación de banano a partes relacionadas establecida en la Resolución No. NAC-DGERCGC15-00003196, publicada en el Primer Suplemento del Registro Oficial No. 657, del 28 de diciembre de 2015, será aplicable para los ejercicios fiscales 2016 y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Segunda.- </w:t>
      </w:r>
      <w:r w:rsidRPr="00FF0901">
        <w:rPr>
          <w:rFonts w:ascii="Tahoma" w:eastAsia="Times New Roman" w:hAnsi="Tahoma" w:cs="Tahoma"/>
          <w:sz w:val="16"/>
          <w:szCs w:val="16"/>
          <w:lang w:val="es-ES"/>
        </w:rPr>
        <w:t>De conformidad con la metodología establecida en el artículo único de la presente Resolución, el límite de precios de exportación de banano a partes relacionadas para el año 2018 será de USD $ 0,5084 por kilogramo de banano 22XU.</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del 1 de enero del 2018.</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Comuníquese y publíquese.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Dictó y firmó la resolución que antecede, el Econ. Leonardo Orlando Arteaga, Director General del Servicio de Rentas Internas, en Quito D. M., a 21 de diciembre de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Lo certifico.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f.) Dra. Alba Molina P, Secretaria General, Servicio de Rentas Internas.</w:t>
      </w:r>
    </w:p>
    <w:p w:rsidR="00BF36CC" w:rsidRDefault="00360855" w:rsidP="00BF36CC">
      <w:pPr>
        <w:jc w:val="both"/>
        <w:rPr>
          <w:rFonts w:ascii="Arial" w:hAnsi="Arial" w:cs="Arial"/>
          <w:color w:val="37474F"/>
          <w:shd w:val="clear" w:color="auto" w:fill="FFFFFF"/>
        </w:rPr>
      </w:pPr>
      <w:r>
        <w:rPr>
          <w:rFonts w:eastAsia="Times New Roman"/>
          <w:sz w:val="30"/>
          <w:szCs w:val="30"/>
          <w:lang w:val="es-ES"/>
        </w:rPr>
        <w:br/>
      </w:r>
      <w:r w:rsidR="00BF36CC">
        <w:rPr>
          <w:rStyle w:val="Hipervnculo"/>
          <w:rFonts w:ascii="Arial" w:hAnsi="Arial" w:cs="Arial"/>
          <w:b/>
          <w:bCs/>
          <w:color w:val="336699"/>
          <w:shd w:val="clear" w:color="auto" w:fill="FFFFFF"/>
        </w:rPr>
        <w:t xml:space="preserve">Resolución </w:t>
      </w:r>
      <w:r w:rsidRPr="00FF0901">
        <w:rPr>
          <w:rStyle w:val="Hipervnculo"/>
          <w:rFonts w:ascii="Arial" w:hAnsi="Arial" w:cs="Arial"/>
          <w:b/>
          <w:bCs/>
          <w:color w:val="336699"/>
          <w:shd w:val="clear" w:color="auto" w:fill="FFFFFF"/>
        </w:rPr>
        <w:t>NAC-DGERCGC17-00000619:</w:t>
      </w:r>
      <w:r>
        <w:rPr>
          <w:rFonts w:eastAsia="Times New Roman"/>
          <w:sz w:val="30"/>
          <w:szCs w:val="30"/>
          <w:lang w:val="es-ES"/>
        </w:rPr>
        <w:t xml:space="preserve"> </w:t>
      </w:r>
      <w:r w:rsidRPr="00BF36CC">
        <w:rPr>
          <w:rFonts w:ascii="Arial" w:hAnsi="Arial" w:cs="Arial"/>
          <w:color w:val="37474F"/>
          <w:shd w:val="clear" w:color="auto" w:fill="FFFFFF"/>
        </w:rPr>
        <w:t>Establécense las normas generales para la retención en la fuente del impuesto a la renta, a cargo del propio sujeto pasivo en la comercialización y/o exportación de productos forestales</w:t>
      </w:r>
      <w:r w:rsidR="00BF36CC">
        <w:rPr>
          <w:rFonts w:ascii="Arial" w:hAnsi="Arial" w:cs="Arial"/>
          <w:color w:val="37474F"/>
          <w:shd w:val="clear" w:color="auto" w:fill="FFFFFF"/>
        </w:rPr>
        <w:t>.</w:t>
      </w:r>
    </w:p>
    <w:p w:rsidR="00FF0901" w:rsidRDefault="00FF0901">
      <w:pPr>
        <w:rPr>
          <w:rFonts w:eastAsia="Times New Roman"/>
          <w:sz w:val="30"/>
          <w:szCs w:val="30"/>
          <w:lang w:val="es-ES"/>
        </w:rPr>
      </w:pPr>
    </w:p>
    <w:p w:rsidR="006F6022" w:rsidRDefault="00FF0901" w:rsidP="006F6022">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las normas generales para la retención en</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la fuente del impuesto a la renta a cargo del propio</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sujeto pasivo en la comercialización y/o exportación</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de productos forestales</w:t>
      </w:r>
    </w:p>
    <w:p w:rsidR="00FF0901" w:rsidRPr="00FF0901" w:rsidRDefault="00FF0901" w:rsidP="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1. Ámbito de aplicación.- </w:t>
      </w:r>
      <w:r w:rsidRPr="00FF0901">
        <w:rPr>
          <w:rFonts w:ascii="Tahoma" w:eastAsia="Times New Roman" w:hAnsi="Tahoma" w:cs="Tahoma"/>
          <w:sz w:val="16"/>
          <w:szCs w:val="16"/>
          <w:lang w:val="es-ES"/>
        </w:rPr>
        <w:t>Establézcanse las condiciones, procedimientos y porcentajes de retención en la fuente de impuesto a la renta a cargo del propio sujeto pasivo, en la comercialización y/o exportación de productos forestales, que requieran la obtención de autorizaciones por parte de la autoridad competente.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2. Condiciones de la retención.- </w:t>
      </w:r>
      <w:r w:rsidRPr="00FF0901">
        <w:rPr>
          <w:rFonts w:ascii="Tahoma" w:eastAsia="Times New Roman" w:hAnsi="Tahoma" w:cs="Tahoma"/>
          <w:sz w:val="16"/>
          <w:szCs w:val="16"/>
          <w:lang w:val="es-ES"/>
        </w:rPr>
        <w:t>Los exportadores de productos forestales deberán efectuar la retención en la fuente de impuesto a la renta en las operaciones que cumplan conjuntamente las siguientes condiciones: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 xml:space="preserve">1. Cuando se trate de exportaciones de productos forestales no procesados, bajo las subpartidas arancelarias 44.03 </w:t>
      </w:r>
      <w:r w:rsidRPr="00FF0901">
        <w:rPr>
          <w:rFonts w:ascii="Tahoma" w:eastAsia="Times New Roman" w:hAnsi="Tahoma" w:cs="Tahoma"/>
          <w:sz w:val="16"/>
          <w:szCs w:val="16"/>
          <w:lang w:val="es-ES"/>
        </w:rPr>
        <w:lastRenderedPageBreak/>
        <w:t>"Madera en bruto, incluso descortezada, desalburada o escuadrada"; siempre que correspondan a bosques primarios, es decir excluyendo todo producto forestal que provenga de bosques plantados, ya sean de especies nativas o exóticas introducidas; y,</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2. Cuando para la exportación de los productos forestales mencionados en el numeral anterior, sea necesario contar con autorizaciones del Ministerio de Agricultura y Ganadería, de conformidad con lo dispuesto en el Decreto Ejecutivo No. 286 de 23 de abril de 2014.</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En caso de que no se cumplan todas las condiciones establecidas en el presente artículo no habrá lugar a la retención a cargo del exportador, sin perjuicio de las retenciones a que hubiera lugar según el régimen general de impuesto a la renta.</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3. Base de cálculo.- </w:t>
      </w:r>
      <w:r w:rsidRPr="00FF0901">
        <w:rPr>
          <w:rFonts w:ascii="Tahoma" w:eastAsia="Times New Roman" w:hAnsi="Tahoma" w:cs="Tahoma"/>
          <w:sz w:val="16"/>
          <w:szCs w:val="16"/>
          <w:lang w:val="es-ES"/>
        </w:rPr>
        <w:t>La base para el cálculo de la retención será igual al valor facturado de cada exportación de productos forestales referidos en el artículo 2 de esta Resolución.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4. Porcentaje de retención en la fuente de impuesto a la renta.- </w:t>
      </w:r>
      <w:r w:rsidRPr="00FF0901">
        <w:rPr>
          <w:rFonts w:ascii="Tahoma" w:eastAsia="Times New Roman" w:hAnsi="Tahoma" w:cs="Tahoma"/>
          <w:sz w:val="16"/>
          <w:szCs w:val="16"/>
          <w:lang w:val="es-ES"/>
        </w:rPr>
        <w:t>El porcentaje de retención en la fuente del impuesto a la renta a cargo del propio sujeto pasivo, por exportación de productos forestales no procesados, bajo las condiciones señaladas en el artículo 2 de la presente Resolución, será del dos por ciento (2%).</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5. Declaración y pago de la retención.- </w:t>
      </w:r>
      <w:r w:rsidRPr="00FF0901">
        <w:rPr>
          <w:rFonts w:ascii="Tahoma" w:eastAsia="Times New Roman" w:hAnsi="Tahoma" w:cs="Tahoma"/>
          <w:sz w:val="16"/>
          <w:szCs w:val="16"/>
          <w:lang w:val="es-ES"/>
        </w:rPr>
        <w:t>Los sujetos pasivos que exporten productos forestales no procesados bajo las condiciones contempladas en el artículo 2 de esta Resolución, deberán liquidar y pagar los valores correspondientes a la retención en la fuente del impuesto a la renta a cargo del propio sujeto pasivo por dichas exportaciones, utilizando el formulario múltiple de pagos 106, que se encuentra disponible en la página web institucional (</w:t>
      </w:r>
      <w:r w:rsidRPr="00FF0901">
        <w:rPr>
          <w:rFonts w:ascii="Tahoma" w:eastAsia="Times New Roman" w:hAnsi="Tahoma" w:cs="Tahoma"/>
          <w:sz w:val="16"/>
          <w:szCs w:val="16"/>
          <w:u w:val="single"/>
          <w:lang w:val="es-ES"/>
        </w:rPr>
        <w:t>www.sri.gob.ee)</w:t>
      </w:r>
      <w:r w:rsidRPr="00FF0901">
        <w:rPr>
          <w:rFonts w:ascii="Tahoma" w:eastAsia="Times New Roman" w:hAnsi="Tahoma" w:cs="Tahoma"/>
          <w:sz w:val="16"/>
          <w:szCs w:val="16"/>
          <w:lang w:val="es-ES"/>
        </w:rPr>
        <w:t>, consignando en el campo "Código del impuesto" el código 1033.</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Dicho formulario se presentará adjunto a los documentos de exportación, en los plazos previstos por el Servicio Nacional de Aduana del Ecuador previo a cada exportación.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efectos del pago de los valores retenidos, el sujeto pasivo podrá utilizar cualquier medio de pago autorizado, de conformidad con la ley.</w:t>
      </w:r>
    </w:p>
    <w:p w:rsidR="006F6022" w:rsidRDefault="006F6022" w:rsidP="00FF0901">
      <w:pPr>
        <w:rPr>
          <w:rFonts w:ascii="Tahoma" w:eastAsia="Times New Roman" w:hAnsi="Tahoma" w:cs="Tahoma"/>
          <w:b/>
          <w:bCs/>
          <w:sz w:val="16"/>
          <w:szCs w:val="16"/>
          <w:lang w:val="es-ES"/>
        </w:rPr>
      </w:pPr>
    </w:p>
    <w:p w:rsidR="00FF0901" w:rsidRDefault="00FF0901" w:rsidP="00FF0901">
      <w:pPr>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DISPOSICIONES GENERALES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PRIMERA.- </w:t>
      </w:r>
      <w:r w:rsidRPr="00FF0901">
        <w:rPr>
          <w:rFonts w:ascii="Tahoma" w:eastAsia="Times New Roman" w:hAnsi="Tahoma" w:cs="Tahoma"/>
          <w:sz w:val="16"/>
          <w:szCs w:val="16"/>
          <w:lang w:val="es-ES"/>
        </w:rPr>
        <w:t>En atención a lo dispuesto en el segundo inciso del segundo artículo innumerado agregado a continuación del artículo 279 del Reglamento para la aplicación de la Ley de Régimen Tributario Interno, cuando se cumplan las condiciones señaladas en el artículo 2 de la presente Resolución, el Servicio de Rentas Internas pondrá a disposición del Servicio Nacional de Aduana del Ecuador la información necesaria para la verificación del pago de la retención, como requisito previo a la regularización de la declaración aduanera de exportación.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SEGUNDA.- </w:t>
      </w:r>
      <w:r w:rsidRPr="00FF0901">
        <w:rPr>
          <w:rFonts w:ascii="Tahoma" w:eastAsia="Times New Roman" w:hAnsi="Tahoma" w:cs="Tahoma"/>
          <w:sz w:val="16"/>
          <w:szCs w:val="16"/>
          <w:lang w:val="es-ES"/>
        </w:rPr>
        <w:t>En los casos de comercialización local de productos forestales, la retención en la fuente del impuesto a la renta se regulará por las normas de retención del régimen general de impuesto a la renta, expedidas mediante Resolución No. NAC-DGERCGC14-00787, publicada en el Tercer Suplemento del Registro Oficial No. 364 de 2 de octubre de 2014 y sus reformas.</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DEROGATORIA ÚNICA.- </w:t>
      </w:r>
      <w:r w:rsidRPr="00FF0901">
        <w:rPr>
          <w:rFonts w:ascii="Tahoma" w:eastAsia="Times New Roman" w:hAnsi="Tahoma" w:cs="Tahoma"/>
          <w:sz w:val="16"/>
          <w:szCs w:val="16"/>
          <w:lang w:val="es-ES"/>
        </w:rPr>
        <w:t>Deróguese la Resolución No. NAC-DGERCGC 17-00000260, publicada en el Primer Suplemento del Registro Oficial No. 990 de 24 de abril de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a partir de su publicación en el Registro Oficial.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Comuníquese y publíquese.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Dictó y firmó la Resolución que antecede, el Economista Leonardo Orlando Arteaga, Director General del Servicio de Rentas Internas, en la ciudad de Quito, D.M., a 21 de diciembre de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Lo certifico.</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f.) Dra. Alba Molina, Secretaria General, Servicio de Rentas Internas.</w:t>
      </w:r>
    </w:p>
    <w:p w:rsidR="00BF36CC" w:rsidRDefault="00360855" w:rsidP="00BF36CC">
      <w:pPr>
        <w:jc w:val="both"/>
        <w:rPr>
          <w:rFonts w:ascii="Arial" w:hAnsi="Arial" w:cs="Arial"/>
          <w:color w:val="37474F"/>
          <w:shd w:val="clear" w:color="auto" w:fill="FFFFFF"/>
        </w:rPr>
      </w:pPr>
      <w:r>
        <w:rPr>
          <w:rFonts w:eastAsia="Times New Roman"/>
          <w:sz w:val="30"/>
          <w:szCs w:val="30"/>
          <w:lang w:val="es-ES"/>
        </w:rPr>
        <w:br/>
      </w:r>
      <w:r w:rsidR="00BF36CC">
        <w:rPr>
          <w:rStyle w:val="Hipervnculo"/>
          <w:rFonts w:ascii="Arial" w:hAnsi="Arial" w:cs="Arial"/>
          <w:b/>
          <w:bCs/>
          <w:color w:val="336699"/>
          <w:shd w:val="clear" w:color="auto" w:fill="FFFFFF"/>
        </w:rPr>
        <w:t xml:space="preserve">Resolución </w:t>
      </w:r>
      <w:r w:rsidRPr="00FF0901">
        <w:rPr>
          <w:rStyle w:val="Hipervnculo"/>
          <w:rFonts w:ascii="Arial" w:hAnsi="Arial" w:cs="Arial"/>
          <w:b/>
          <w:bCs/>
          <w:color w:val="336699"/>
          <w:shd w:val="clear" w:color="auto" w:fill="FFFFFF"/>
        </w:rPr>
        <w:t>NAC-DGERCGC17-00000620:</w:t>
      </w:r>
      <w:r>
        <w:rPr>
          <w:rFonts w:eastAsia="Times New Roman"/>
          <w:sz w:val="30"/>
          <w:szCs w:val="30"/>
          <w:lang w:val="es-ES"/>
        </w:rPr>
        <w:t xml:space="preserve"> </w:t>
      </w:r>
      <w:r w:rsidRPr="00BF36CC">
        <w:rPr>
          <w:rFonts w:ascii="Arial" w:hAnsi="Arial" w:cs="Arial"/>
          <w:color w:val="37474F"/>
          <w:shd w:val="clear" w:color="auto" w:fill="FFFFFF"/>
        </w:rPr>
        <w:t>Establécense los precios referenciales para el cálculo de la base imponible del Impuesto a los Consumos Especiales (ICE) de perfumes y aguas de tocador, comercializados a través de venta directa, para el periodo fiscal 2018</w:t>
      </w:r>
      <w:r w:rsidR="00BF36CC">
        <w:rPr>
          <w:rFonts w:ascii="Arial" w:hAnsi="Arial" w:cs="Arial"/>
          <w:color w:val="37474F"/>
          <w:shd w:val="clear" w:color="auto" w:fill="FFFFFF"/>
        </w:rPr>
        <w:t>.</w:t>
      </w:r>
    </w:p>
    <w:p w:rsidR="006F6022" w:rsidRDefault="006F6022" w:rsidP="00BF36CC">
      <w:pPr>
        <w:rPr>
          <w:rFonts w:eastAsia="Times New Roman"/>
          <w:sz w:val="30"/>
          <w:szCs w:val="30"/>
          <w:lang w:val="es-ES"/>
        </w:rPr>
      </w:pPr>
    </w:p>
    <w:p w:rsidR="00BF36CC" w:rsidRDefault="006F6022" w:rsidP="00BF36CC">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los precios referenciales para el cálculo de la base imponible del Impuesto a los Consumos Especiales (ICE) de perfumes y aguas de tocador, comercializados a través de venta direc</w:t>
      </w:r>
      <w:r w:rsidR="00BF36CC">
        <w:rPr>
          <w:rFonts w:ascii="Tahoma" w:eastAsia="Times New Roman" w:hAnsi="Tahoma" w:cs="Tahoma"/>
          <w:b/>
          <w:bCs/>
          <w:sz w:val="16"/>
          <w:szCs w:val="16"/>
          <w:lang w:val="es-ES"/>
        </w:rPr>
        <w:t>ta, para el periodo fiscal 2018.</w:t>
      </w:r>
    </w:p>
    <w:p w:rsidR="006F6022" w:rsidRPr="00FF0901" w:rsidRDefault="006F6022" w:rsidP="00BF36CC">
      <w:pPr>
        <w:rPr>
          <w:rFonts w:ascii="Tahoma" w:eastAsia="Times New Roman" w:hAnsi="Tahoma" w:cs="Tahoma"/>
          <w:sz w:val="16"/>
          <w:szCs w:val="16"/>
          <w:lang w:val="es-ES"/>
        </w:rPr>
      </w:pPr>
      <w:r w:rsidRPr="00FF0901">
        <w:rPr>
          <w:rFonts w:ascii="Tahoma" w:eastAsia="Times New Roman" w:hAnsi="Tahoma" w:cs="Tahoma"/>
          <w:b/>
          <w:bCs/>
          <w:sz w:val="16"/>
          <w:szCs w:val="16"/>
          <w:lang w:val="es-ES"/>
        </w:rPr>
        <w:lastRenderedPageBreak/>
        <w:t xml:space="preserve">Artículo Único.- </w:t>
      </w:r>
      <w:r w:rsidRPr="00FF0901">
        <w:rPr>
          <w:rFonts w:ascii="Tahoma" w:eastAsia="Times New Roman" w:hAnsi="Tahoma" w:cs="Tahoma"/>
          <w:sz w:val="16"/>
          <w:szCs w:val="16"/>
          <w:lang w:val="es-ES"/>
        </w:rPr>
        <w:t>Objeto.- Establecer los precios referenciales para el cálculo de la base imponible de Impuesto a los Consumos Especiales (ICE) de perfumes y aguas de tocador, comercializados a través de la modalidad de venta directa, para el período fiscal 2018, mismos que deberán calcularse por cada producto, incrementando al precio ex aduana - en el caso de bienes importados - y, a los costos totales de producción - en el caso de bienes de fabricación nacional - los porcentajes detallados en la siguiente tabla:</w:t>
      </w:r>
    </w:p>
    <w:p w:rsidR="006F6022" w:rsidRPr="00FF0901" w:rsidRDefault="006F6022" w:rsidP="006F6022">
      <w:pPr>
        <w:rPr>
          <w:rFonts w:ascii="Tahoma" w:eastAsia="Times New Roman" w:hAnsi="Tahoma" w:cs="Tahoma"/>
          <w:sz w:val="16"/>
          <w:szCs w:val="16"/>
          <w:lang w:val="es-ES"/>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2"/>
        <w:gridCol w:w="2531"/>
        <w:gridCol w:w="1276"/>
      </w:tblGrid>
      <w:tr w:rsidR="006F6022" w:rsidRPr="00FF0901" w:rsidTr="00BF36CC">
        <w:trPr>
          <w:tblCellSpacing w:w="15" w:type="dxa"/>
          <w:jc w:val="center"/>
        </w:trPr>
        <w:tc>
          <w:tcPr>
            <w:tcW w:w="4058" w:type="dxa"/>
            <w:gridSpan w:val="2"/>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b/>
                <w:bCs/>
                <w:sz w:val="16"/>
                <w:szCs w:val="16"/>
              </w:rPr>
              <w:t>Rango de precio ex – aduana o costos totales de producción por producto en USD</w:t>
            </w:r>
          </w:p>
        </w:tc>
        <w:tc>
          <w:tcPr>
            <w:tcW w:w="1231" w:type="dxa"/>
            <w:vMerge w:val="restart"/>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b/>
                <w:bCs/>
                <w:sz w:val="16"/>
                <w:szCs w:val="16"/>
              </w:rPr>
              <w:t>% de incremento</w:t>
            </w:r>
          </w:p>
        </w:tc>
      </w:tr>
      <w:tr w:rsidR="006F6022" w:rsidRPr="00FF0901" w:rsidTr="00BF36CC">
        <w:trPr>
          <w:tblCellSpacing w:w="15" w:type="dxa"/>
          <w:jc w:val="center"/>
        </w:trPr>
        <w:tc>
          <w:tcPr>
            <w:tcW w:w="1527"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b/>
                <w:bCs/>
                <w:sz w:val="16"/>
                <w:szCs w:val="16"/>
              </w:rPr>
              <w:t>Desde</w:t>
            </w:r>
          </w:p>
        </w:tc>
        <w:tc>
          <w:tcPr>
            <w:tcW w:w="250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b/>
                <w:bCs/>
                <w:sz w:val="16"/>
                <w:szCs w:val="16"/>
              </w:rPr>
              <w:t>Hasta</w:t>
            </w:r>
          </w:p>
        </w:tc>
        <w:tc>
          <w:tcPr>
            <w:tcW w:w="1231" w:type="dxa"/>
            <w:vMerge/>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p>
        </w:tc>
      </w:tr>
      <w:tr w:rsidR="006F6022" w:rsidRPr="00FF0901" w:rsidTr="00BF36CC">
        <w:trPr>
          <w:tblCellSpacing w:w="15" w:type="dxa"/>
          <w:jc w:val="center"/>
        </w:trPr>
        <w:tc>
          <w:tcPr>
            <w:tcW w:w="1527"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b/>
                <w:bCs/>
                <w:sz w:val="16"/>
                <w:szCs w:val="16"/>
              </w:rPr>
              <w:t>-</w:t>
            </w:r>
          </w:p>
        </w:tc>
        <w:tc>
          <w:tcPr>
            <w:tcW w:w="250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1,50</w:t>
            </w:r>
          </w:p>
        </w:tc>
        <w:tc>
          <w:tcPr>
            <w:tcW w:w="123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150%</w:t>
            </w:r>
          </w:p>
        </w:tc>
      </w:tr>
      <w:tr w:rsidR="006F6022" w:rsidRPr="00FF0901" w:rsidTr="00BF36CC">
        <w:trPr>
          <w:tblCellSpacing w:w="15" w:type="dxa"/>
          <w:jc w:val="center"/>
        </w:trPr>
        <w:tc>
          <w:tcPr>
            <w:tcW w:w="1527"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1,51</w:t>
            </w:r>
          </w:p>
        </w:tc>
        <w:tc>
          <w:tcPr>
            <w:tcW w:w="250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3,00</w:t>
            </w:r>
          </w:p>
        </w:tc>
        <w:tc>
          <w:tcPr>
            <w:tcW w:w="123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180%</w:t>
            </w:r>
          </w:p>
        </w:tc>
      </w:tr>
      <w:tr w:rsidR="006F6022" w:rsidRPr="00FF0901" w:rsidTr="00BF36CC">
        <w:trPr>
          <w:tblCellSpacing w:w="15" w:type="dxa"/>
          <w:jc w:val="center"/>
        </w:trPr>
        <w:tc>
          <w:tcPr>
            <w:tcW w:w="1527"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3,01</w:t>
            </w:r>
          </w:p>
        </w:tc>
        <w:tc>
          <w:tcPr>
            <w:tcW w:w="250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6,00</w:t>
            </w:r>
          </w:p>
        </w:tc>
        <w:tc>
          <w:tcPr>
            <w:tcW w:w="123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240%</w:t>
            </w:r>
          </w:p>
        </w:tc>
      </w:tr>
      <w:tr w:rsidR="006F6022" w:rsidRPr="00FF0901" w:rsidTr="00BF36CC">
        <w:trPr>
          <w:tblCellSpacing w:w="15" w:type="dxa"/>
          <w:jc w:val="center"/>
        </w:trPr>
        <w:tc>
          <w:tcPr>
            <w:tcW w:w="1527"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6,01</w:t>
            </w:r>
          </w:p>
        </w:tc>
        <w:tc>
          <w:tcPr>
            <w:tcW w:w="250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En adelante</w:t>
            </w:r>
          </w:p>
        </w:tc>
        <w:tc>
          <w:tcPr>
            <w:tcW w:w="1231"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6F6022">
            <w:pPr>
              <w:jc w:val="center"/>
              <w:rPr>
                <w:rFonts w:ascii="Tahoma" w:eastAsia="Times New Roman" w:hAnsi="Tahoma" w:cs="Tahoma"/>
                <w:sz w:val="16"/>
                <w:szCs w:val="16"/>
              </w:rPr>
            </w:pPr>
            <w:r w:rsidRPr="00FF0901">
              <w:rPr>
                <w:rFonts w:ascii="Tahoma" w:eastAsia="Times New Roman" w:hAnsi="Tahoma" w:cs="Tahoma"/>
                <w:sz w:val="16"/>
                <w:szCs w:val="16"/>
              </w:rPr>
              <w:t>300%</w:t>
            </w:r>
          </w:p>
        </w:tc>
      </w:tr>
    </w:tbl>
    <w:p w:rsidR="00BF36CC" w:rsidRDefault="00BF36CC" w:rsidP="006F6022">
      <w:pPr>
        <w:rPr>
          <w:rFonts w:ascii="Tahoma" w:eastAsia="Times New Roman" w:hAnsi="Tahoma" w:cs="Tahoma"/>
          <w:sz w:val="16"/>
          <w:szCs w:val="16"/>
          <w:lang w:val="es-ES"/>
        </w:rPr>
      </w:pPr>
    </w:p>
    <w:p w:rsidR="00BF36CC" w:rsidRDefault="006F6022" w:rsidP="006F6022">
      <w:pPr>
        <w:rPr>
          <w:rFonts w:ascii="Tahoma" w:eastAsia="Times New Roman" w:hAnsi="Tahoma" w:cs="Tahoma"/>
          <w:sz w:val="16"/>
          <w:szCs w:val="16"/>
          <w:lang w:val="es-ES"/>
        </w:rPr>
      </w:pPr>
      <w:r w:rsidRPr="00FF0901">
        <w:rPr>
          <w:rFonts w:ascii="Tahoma" w:eastAsia="Times New Roman" w:hAnsi="Tahoma" w:cs="Tahoma"/>
          <w:sz w:val="16"/>
          <w:szCs w:val="16"/>
          <w:lang w:val="es-ES"/>
        </w:rPr>
        <w:t>En los costos totales producción de los bienes de fabricación nacional se incluirán materias primas, mano de obra directa y los costos y gastos indirectos de fabricación.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Para efectos del cálculo de la base imponible del ICE, los pagos por concepto de regalías calculados en función de volumen, valor o monto de ventas que no superen el 5% de dichas ventas, no se considerarán costos o gastos de fabricación; en caso de que los pagos por regalías superen dicho porcentaje, el mencionado valor será incorporado a los costos totales de producción.</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Derogatoria Única: </w:t>
      </w:r>
      <w:r w:rsidRPr="00FF0901">
        <w:rPr>
          <w:rFonts w:ascii="Tahoma" w:eastAsia="Times New Roman" w:hAnsi="Tahoma" w:cs="Tahoma"/>
          <w:sz w:val="16"/>
          <w:szCs w:val="16"/>
          <w:lang w:val="es-ES"/>
        </w:rPr>
        <w:t>Deróguese la Resolución No. NAC-DGERCGC16-00000520, publicada en el Tercer Suplemento del Registro Oficial No. 912, de fecha 29 de diciembre de 2016.</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y será aplicable a partir del 01 de enero de 2018, sin perjuicio de su publicación en el Registro Oficial.</w:t>
      </w:r>
    </w:p>
    <w:p w:rsidR="006F6022" w:rsidRPr="00FF0901" w:rsidRDefault="006F6022" w:rsidP="006F6022">
      <w:pPr>
        <w:rPr>
          <w:rStyle w:val="Hipervnculo"/>
          <w:rFonts w:ascii="Arial" w:hAnsi="Arial" w:cs="Arial"/>
          <w:b/>
          <w:bCs/>
          <w:color w:val="336699"/>
          <w:shd w:val="clear" w:color="auto" w:fill="FFFFFF"/>
        </w:rPr>
      </w:pPr>
    </w:p>
    <w:p w:rsidR="00BF36CC" w:rsidRDefault="00BF36CC" w:rsidP="00BF36CC">
      <w:pPr>
        <w:jc w:val="both"/>
        <w:rPr>
          <w:rFonts w:ascii="Arial" w:hAnsi="Arial" w:cs="Arial"/>
          <w:color w:val="37474F"/>
          <w:shd w:val="clear" w:color="auto" w:fill="FFFFFF"/>
        </w:rPr>
      </w:pPr>
      <w:r>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NAC-DGERCGC17-00000621:</w:t>
      </w:r>
      <w:r w:rsidR="00360855">
        <w:rPr>
          <w:rFonts w:eastAsia="Times New Roman"/>
          <w:sz w:val="30"/>
          <w:szCs w:val="30"/>
          <w:lang w:val="es-ES"/>
        </w:rPr>
        <w:t xml:space="preserve"> </w:t>
      </w:r>
      <w:r w:rsidR="00360855" w:rsidRPr="00BF36CC">
        <w:rPr>
          <w:rFonts w:ascii="Arial" w:hAnsi="Arial" w:cs="Arial"/>
          <w:color w:val="37474F"/>
          <w:shd w:val="clear" w:color="auto" w:fill="FFFFFF"/>
        </w:rPr>
        <w:t>Establécense las tarifas específicas del Impuesto a los Consumos Especiales (ICE) aplicables a partir del 1 de enero de 2018</w:t>
      </w:r>
      <w:r>
        <w:rPr>
          <w:rFonts w:ascii="Arial" w:hAnsi="Arial" w:cs="Arial"/>
          <w:color w:val="37474F"/>
          <w:shd w:val="clear" w:color="auto" w:fill="FFFFFF"/>
        </w:rPr>
        <w:t>.</w:t>
      </w:r>
    </w:p>
    <w:p w:rsidR="006F6022" w:rsidRDefault="006F6022" w:rsidP="006F6022">
      <w:pPr>
        <w:rPr>
          <w:rFonts w:ascii="Tahoma" w:eastAsia="Times New Roman" w:hAnsi="Tahoma" w:cs="Tahoma"/>
          <w:b/>
          <w:bCs/>
          <w:sz w:val="16"/>
          <w:szCs w:val="16"/>
          <w:lang w:val="es-ES"/>
        </w:rPr>
      </w:pPr>
    </w:p>
    <w:p w:rsidR="006F6022" w:rsidRDefault="006F6022" w:rsidP="006F6022">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las tarifas específicas del Impuesto a los</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Consumos Especiales (ICE) aplicables a partir del 1</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de enero de 2018.</w:t>
      </w:r>
    </w:p>
    <w:p w:rsidR="006F6022" w:rsidRPr="00FF0901" w:rsidRDefault="006F6022" w:rsidP="006F6022">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Artículo Único. Objeto.- </w:t>
      </w:r>
      <w:r w:rsidRPr="00FF0901">
        <w:rPr>
          <w:rFonts w:ascii="Tahoma" w:eastAsia="Times New Roman" w:hAnsi="Tahoma" w:cs="Tahoma"/>
          <w:sz w:val="16"/>
          <w:szCs w:val="16"/>
          <w:lang w:val="es-ES"/>
        </w:rPr>
        <w:t xml:space="preserve">Las tarifas específicas señaladas en el Grupo V del artículo 82 de la Ley de Régimen Tributario, para el cálculo del Impuesto a los Consumos Especiales (ICE), que se aplicarán a partir del 1 de enero de 2018 son: </w:t>
      </w:r>
    </w:p>
    <w:p w:rsidR="006F6022" w:rsidRPr="00FF0901" w:rsidRDefault="006F6022" w:rsidP="006F6022">
      <w:pPr>
        <w:rPr>
          <w:rFonts w:ascii="Tahoma" w:eastAsia="Times New Roman" w:hAnsi="Tahoma" w:cs="Tahoma"/>
          <w:sz w:val="16"/>
          <w:szCs w:val="16"/>
          <w:lang w:val="es-ES"/>
        </w:rPr>
      </w:pPr>
    </w:p>
    <w:tbl>
      <w:tblPr>
        <w:tblW w:w="750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31"/>
        <w:gridCol w:w="3074"/>
      </w:tblGrid>
      <w:tr w:rsidR="006F6022" w:rsidRPr="00FF0901" w:rsidTr="006F6022">
        <w:trPr>
          <w:tblCellSpacing w:w="15" w:type="dxa"/>
          <w:jc w:val="center"/>
        </w:trPr>
        <w:tc>
          <w:tcPr>
            <w:tcW w:w="4386"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b/>
                <w:bCs/>
                <w:sz w:val="16"/>
                <w:szCs w:val="16"/>
              </w:rPr>
              <w:t>GRUPO V</w:t>
            </w:r>
          </w:p>
        </w:tc>
        <w:tc>
          <w:tcPr>
            <w:tcW w:w="3029"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TARIFA ESPECÍFICA</w:t>
            </w:r>
            <w:r w:rsidRPr="00FF0901">
              <w:rPr>
                <w:rFonts w:ascii="Tahoma" w:eastAsia="Times New Roman" w:hAnsi="Tahoma" w:cs="Tahoma"/>
                <w:b/>
                <w:bCs/>
                <w:sz w:val="16"/>
                <w:szCs w:val="16"/>
              </w:rPr>
              <w:t> </w:t>
            </w:r>
          </w:p>
        </w:tc>
      </w:tr>
      <w:tr w:rsidR="006F6022" w:rsidRPr="00FF0901" w:rsidTr="006F6022">
        <w:trPr>
          <w:tblCellSpacing w:w="15" w:type="dxa"/>
          <w:jc w:val="center"/>
        </w:trPr>
        <w:tc>
          <w:tcPr>
            <w:tcW w:w="4386"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Cigarrillos</w:t>
            </w:r>
          </w:p>
        </w:tc>
        <w:tc>
          <w:tcPr>
            <w:tcW w:w="3029"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0,16 USD POR UNIDAD</w:t>
            </w:r>
          </w:p>
        </w:tc>
      </w:tr>
      <w:tr w:rsidR="006F6022" w:rsidRPr="00FF0901" w:rsidTr="006F6022">
        <w:trPr>
          <w:tblCellSpacing w:w="15" w:type="dxa"/>
          <w:jc w:val="center"/>
        </w:trPr>
        <w:tc>
          <w:tcPr>
            <w:tcW w:w="4386"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Bebidas alcohólicas, incluida la cerveza artesanal</w:t>
            </w:r>
          </w:p>
        </w:tc>
        <w:tc>
          <w:tcPr>
            <w:tcW w:w="3029"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7,22 USD POR LITRO DE ALCOHOL PURO</w:t>
            </w:r>
          </w:p>
        </w:tc>
      </w:tr>
      <w:tr w:rsidR="006F6022" w:rsidRPr="00FF0901" w:rsidTr="006F6022">
        <w:trPr>
          <w:tblCellSpacing w:w="15" w:type="dxa"/>
          <w:jc w:val="center"/>
        </w:trPr>
        <w:tc>
          <w:tcPr>
            <w:tcW w:w="4386"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Cerveza Industrial</w:t>
            </w:r>
          </w:p>
        </w:tc>
        <w:tc>
          <w:tcPr>
            <w:tcW w:w="3029"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12 USD POR LITRO DE ALCOHOL PURO</w:t>
            </w:r>
          </w:p>
        </w:tc>
      </w:tr>
      <w:tr w:rsidR="006F6022" w:rsidRPr="00FF0901" w:rsidTr="006F6022">
        <w:trPr>
          <w:tblCellSpacing w:w="15" w:type="dxa"/>
          <w:jc w:val="center"/>
        </w:trPr>
        <w:tc>
          <w:tcPr>
            <w:tcW w:w="4386"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Bebidas no alcohólicas y gaseosas con contenido de azúcar mayor a 25 gramos por litro de bebida, excepto energizantes.</w:t>
            </w:r>
          </w:p>
        </w:tc>
        <w:tc>
          <w:tcPr>
            <w:tcW w:w="3029" w:type="dxa"/>
            <w:tcBorders>
              <w:top w:val="outset" w:sz="6" w:space="0" w:color="auto"/>
              <w:left w:val="outset" w:sz="6" w:space="0" w:color="auto"/>
              <w:bottom w:val="outset" w:sz="6" w:space="0" w:color="auto"/>
              <w:right w:val="outset" w:sz="6" w:space="0" w:color="auto"/>
            </w:tcBorders>
            <w:vAlign w:val="center"/>
            <w:hideMark/>
          </w:tcPr>
          <w:p w:rsidR="006F6022" w:rsidRPr="00FF0901" w:rsidRDefault="006F6022" w:rsidP="00292C10">
            <w:pPr>
              <w:rPr>
                <w:rFonts w:ascii="Tahoma" w:eastAsia="Times New Roman" w:hAnsi="Tahoma" w:cs="Tahoma"/>
                <w:sz w:val="16"/>
                <w:szCs w:val="16"/>
              </w:rPr>
            </w:pPr>
            <w:r w:rsidRPr="00FF0901">
              <w:rPr>
                <w:rFonts w:ascii="Tahoma" w:eastAsia="Times New Roman" w:hAnsi="Tahoma" w:cs="Tahoma"/>
                <w:sz w:val="16"/>
                <w:szCs w:val="16"/>
              </w:rPr>
              <w:t>0,18 USD por 100 gramos de azúcar</w:t>
            </w:r>
          </w:p>
        </w:tc>
      </w:tr>
    </w:tbl>
    <w:p w:rsidR="006F6022" w:rsidRDefault="006F6022" w:rsidP="006F6022">
      <w:pPr>
        <w:rPr>
          <w:rFonts w:ascii="Tahoma" w:eastAsia="Times New Roman" w:hAnsi="Tahoma" w:cs="Tahoma"/>
          <w:b/>
          <w:bCs/>
          <w:sz w:val="16"/>
          <w:szCs w:val="16"/>
          <w:lang w:val="es-ES"/>
        </w:rPr>
      </w:pPr>
    </w:p>
    <w:p w:rsidR="00BF36CC" w:rsidRDefault="006F6022">
      <w:pPr>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Disposición Final: </w:t>
      </w:r>
      <w:r w:rsidRPr="00FF0901">
        <w:rPr>
          <w:rFonts w:ascii="Tahoma" w:eastAsia="Times New Roman" w:hAnsi="Tahoma" w:cs="Tahoma"/>
          <w:sz w:val="16"/>
          <w:szCs w:val="16"/>
          <w:lang w:val="es-ES"/>
        </w:rPr>
        <w:t>La presente Resolución entrará en vigencia y será aplicable a partir del 01 de enero de 2018, sin perjuicio de su publicación en el Registro Oficial.</w:t>
      </w:r>
    </w:p>
    <w:p w:rsidR="00BF36CC" w:rsidRDefault="00BF36CC">
      <w:pPr>
        <w:rPr>
          <w:rFonts w:ascii="Tahoma" w:eastAsia="Times New Roman" w:hAnsi="Tahoma" w:cs="Tahoma"/>
          <w:sz w:val="16"/>
          <w:szCs w:val="16"/>
          <w:lang w:val="es-ES"/>
        </w:rPr>
      </w:pPr>
    </w:p>
    <w:p w:rsidR="006F6022" w:rsidRDefault="006F6022" w:rsidP="00BF36CC">
      <w:pPr>
        <w:jc w:val="both"/>
        <w:rPr>
          <w:rFonts w:ascii="Arial" w:hAnsi="Arial" w:cs="Arial"/>
          <w:color w:val="37474F"/>
          <w:shd w:val="clear" w:color="auto" w:fill="FFFFFF"/>
        </w:rPr>
      </w:pPr>
      <w:r w:rsidRPr="00FF0901">
        <w:rPr>
          <w:rFonts w:ascii="Tahoma" w:eastAsia="Times New Roman" w:hAnsi="Tahoma" w:cs="Tahoma"/>
          <w:sz w:val="16"/>
          <w:szCs w:val="16"/>
          <w:lang w:val="es-ES"/>
        </w:rPr>
        <w:br/>
      </w:r>
      <w:r w:rsidR="00BF36CC">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 xml:space="preserve">NAC-DGERCGC17-00000622: </w:t>
      </w:r>
      <w:r w:rsidR="00360855" w:rsidRPr="00BF36CC">
        <w:rPr>
          <w:rFonts w:ascii="Arial" w:hAnsi="Arial" w:cs="Arial"/>
          <w:color w:val="37474F"/>
          <w:shd w:val="clear" w:color="auto" w:fill="FFFFFF"/>
        </w:rPr>
        <w:t>Establécese la base imponible por litro de bebida del Impuesto a los Consumos Especiales (ICE) de bebidas alcohólicas, incluida la cerveza, aplicable para la tarifa ad valorem durante el período fiscal 2018</w:t>
      </w:r>
      <w:r w:rsidRPr="00BF36CC">
        <w:rPr>
          <w:rFonts w:ascii="Arial" w:hAnsi="Arial" w:cs="Arial"/>
          <w:color w:val="37474F"/>
          <w:shd w:val="clear" w:color="auto" w:fill="FFFFFF"/>
        </w:rPr>
        <w:t>.</w:t>
      </w:r>
    </w:p>
    <w:p w:rsidR="006F6022" w:rsidRPr="00BF36CC" w:rsidRDefault="006F6022">
      <w:pPr>
        <w:rPr>
          <w:rFonts w:ascii="Arial" w:hAnsi="Arial" w:cs="Arial"/>
          <w:color w:val="37474F"/>
          <w:shd w:val="clear" w:color="auto" w:fill="FFFFFF"/>
        </w:rPr>
      </w:pPr>
    </w:p>
    <w:p w:rsidR="00BF36CC" w:rsidRDefault="006F6022" w:rsidP="00BF36CC">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Resuelve:</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Establecer la base imponible por litro de bebida del</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Impuesto a los Consumos Especiales (ICE) de bebidas</w:t>
      </w:r>
      <w:r w:rsidRPr="00FF0901">
        <w:rPr>
          <w:rFonts w:ascii="Tahoma" w:eastAsia="Times New Roman" w:hAnsi="Tahoma" w:cs="Tahoma"/>
          <w:sz w:val="16"/>
          <w:szCs w:val="16"/>
          <w:lang w:val="es-ES"/>
        </w:rPr>
        <w:t xml:space="preserve"> </w:t>
      </w:r>
      <w:r w:rsidRPr="00FF0901">
        <w:rPr>
          <w:rFonts w:ascii="Tahoma" w:eastAsia="Times New Roman" w:hAnsi="Tahoma" w:cs="Tahoma"/>
          <w:b/>
          <w:bCs/>
          <w:sz w:val="16"/>
          <w:szCs w:val="16"/>
          <w:lang w:val="es-ES"/>
        </w:rPr>
        <w:t>alcohólicas, incluida la cerveza, aplicable para la</w:t>
      </w:r>
      <w:r w:rsidRPr="00FF0901">
        <w:rPr>
          <w:rFonts w:ascii="Tahoma" w:eastAsia="Times New Roman" w:hAnsi="Tahoma" w:cs="Tahoma"/>
          <w:sz w:val="16"/>
          <w:szCs w:val="16"/>
          <w:lang w:val="es-ES"/>
        </w:rPr>
        <w:t xml:space="preserve"> t</w:t>
      </w:r>
      <w:r w:rsidRPr="00FF0901">
        <w:rPr>
          <w:rFonts w:ascii="Tahoma" w:eastAsia="Times New Roman" w:hAnsi="Tahoma" w:cs="Tahoma"/>
          <w:b/>
          <w:bCs/>
          <w:sz w:val="16"/>
          <w:szCs w:val="16"/>
          <w:lang w:val="es-ES"/>
        </w:rPr>
        <w:t>arifa ad valorem durante el período fiscal 2018</w:t>
      </w:r>
      <w:r w:rsidR="00BF36CC">
        <w:rPr>
          <w:rFonts w:ascii="Tahoma" w:eastAsia="Times New Roman" w:hAnsi="Tahoma" w:cs="Tahoma"/>
          <w:b/>
          <w:bCs/>
          <w:sz w:val="16"/>
          <w:szCs w:val="16"/>
          <w:lang w:val="es-ES"/>
        </w:rPr>
        <w:t>.</w:t>
      </w:r>
    </w:p>
    <w:p w:rsidR="006F6022" w:rsidRPr="00FF0901" w:rsidRDefault="006F6022" w:rsidP="006F6022">
      <w:pPr>
        <w:rPr>
          <w:rFonts w:ascii="Tahoma" w:eastAsia="Times New Roman" w:hAnsi="Tahoma" w:cs="Tahoma"/>
          <w:sz w:val="16"/>
          <w:szCs w:val="16"/>
          <w:lang w:val="es-ES"/>
        </w:rPr>
      </w:pPr>
      <w:r w:rsidRPr="00FF0901">
        <w:rPr>
          <w:rFonts w:ascii="Tahoma" w:eastAsia="Times New Roman" w:hAnsi="Tahoma" w:cs="Tahoma"/>
          <w:sz w:val="16"/>
          <w:szCs w:val="16"/>
          <w:lang w:val="es-ES"/>
        </w:rPr>
        <w:lastRenderedPageBreak/>
        <w:br/>
      </w:r>
      <w:r w:rsidRPr="00FF0901">
        <w:rPr>
          <w:rFonts w:ascii="Tahoma" w:eastAsia="Times New Roman" w:hAnsi="Tahoma" w:cs="Tahoma"/>
          <w:b/>
          <w:bCs/>
          <w:sz w:val="16"/>
          <w:szCs w:val="16"/>
          <w:lang w:val="es-ES"/>
        </w:rPr>
        <w:t xml:space="preserve">Art. 1.- Objeto.- </w:t>
      </w:r>
      <w:r w:rsidRPr="00FF0901">
        <w:rPr>
          <w:rFonts w:ascii="Tahoma" w:eastAsia="Times New Roman" w:hAnsi="Tahoma" w:cs="Tahoma"/>
          <w:sz w:val="16"/>
          <w:szCs w:val="16"/>
          <w:lang w:val="es-ES"/>
        </w:rPr>
        <w:t>Establecer la base imponible por litro de bebida del Impuesto a los Consumos Especiales (ICE) de bebidas alcohólicas, incluida la cerveza, para el período fiscal 2018.</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 2.- Valor del precio ex fábrica y ex aduana- </w:t>
      </w:r>
      <w:r w:rsidRPr="00FF0901">
        <w:rPr>
          <w:rFonts w:ascii="Tahoma" w:eastAsia="Times New Roman" w:hAnsi="Tahoma" w:cs="Tahoma"/>
          <w:sz w:val="16"/>
          <w:szCs w:val="16"/>
          <w:lang w:val="es-ES"/>
        </w:rPr>
        <w:t>Para efectos de determinar la base imponible para la aplicación de la tarifa ad valorem del Impuesto a los Consumos Especiales (ICE) de bebidas alcohólicas, incluida la cerveza, se establece el valor del precio ex fábrica y ex aduana, conforme lo señalado en el literal b) del numeral 2 del artículo 76 de la Ley de Régimen Tributario Interno, en CUATRO DÓLARES CON TREINTA Y DOS CENTAVOS DE DÓLAR DE LOS ESTADOS UNIDOS DE AMÉRICA (USD 4,32) por litro de bebida.</w:t>
      </w:r>
    </w:p>
    <w:p w:rsidR="00BF36CC" w:rsidRDefault="00BF36CC" w:rsidP="006F6022">
      <w:pPr>
        <w:spacing w:after="300"/>
        <w:rPr>
          <w:rFonts w:ascii="Tahoma" w:eastAsia="Times New Roman" w:hAnsi="Tahoma" w:cs="Tahoma"/>
          <w:b/>
          <w:bCs/>
          <w:sz w:val="16"/>
          <w:szCs w:val="16"/>
          <w:lang w:val="es-ES"/>
        </w:rPr>
      </w:pPr>
    </w:p>
    <w:p w:rsidR="006F6022" w:rsidRPr="00FF0901" w:rsidRDefault="006F6022" w:rsidP="006F6022">
      <w:pPr>
        <w:spacing w:after="300"/>
        <w:rPr>
          <w:rFonts w:ascii="Tahoma" w:eastAsia="Times New Roman" w:hAnsi="Tahoma" w:cs="Tahoma"/>
          <w:sz w:val="16"/>
          <w:szCs w:val="16"/>
          <w:lang w:val="es-ES"/>
        </w:rPr>
      </w:pPr>
      <w:r w:rsidRPr="00FF0901">
        <w:rPr>
          <w:rFonts w:ascii="Tahoma" w:eastAsia="Times New Roman" w:hAnsi="Tahoma" w:cs="Tahoma"/>
          <w:b/>
          <w:bCs/>
          <w:sz w:val="16"/>
          <w:szCs w:val="16"/>
          <w:lang w:val="es-ES"/>
        </w:rPr>
        <w:t xml:space="preserve">DISPOSICIÓN DEROGATORIA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Única.- </w:t>
      </w:r>
      <w:r w:rsidRPr="00FF0901">
        <w:rPr>
          <w:rFonts w:ascii="Tahoma" w:eastAsia="Times New Roman" w:hAnsi="Tahoma" w:cs="Tahoma"/>
          <w:sz w:val="16"/>
          <w:szCs w:val="16"/>
          <w:lang w:val="es-ES"/>
        </w:rPr>
        <w:t>Deróguese la Resolución No. NAC-DGERCGC16-00000521, publicada en el tercer Suplemento del Registro Oficial No. 912 de 29 de diciembre de 2016.</w:t>
      </w:r>
    </w:p>
    <w:p w:rsidR="00BF36CC" w:rsidRDefault="006F6022" w:rsidP="00BF36CC">
      <w:pPr>
        <w:jc w:val="both"/>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 xml:space="preserve">DISPOSICIÓN FINAL </w:t>
      </w:r>
    </w:p>
    <w:p w:rsidR="00BF36CC" w:rsidRDefault="006F6022" w:rsidP="00BF36CC">
      <w:pPr>
        <w:jc w:val="both"/>
        <w:rPr>
          <w:rFonts w:ascii="Tahoma" w:eastAsia="Times New Roman" w:hAnsi="Tahoma" w:cs="Tahoma"/>
          <w:sz w:val="16"/>
          <w:szCs w:val="16"/>
          <w:lang w:val="es-ES"/>
        </w:rPr>
      </w:pPr>
      <w:r w:rsidRPr="00FF0901">
        <w:rPr>
          <w:rFonts w:ascii="Tahoma" w:eastAsia="Times New Roman" w:hAnsi="Tahoma" w:cs="Tahoma"/>
          <w:sz w:val="16"/>
          <w:szCs w:val="16"/>
          <w:lang w:val="es-ES"/>
        </w:rPr>
        <w:br/>
        <w:t>La presente Resolución entrará en vigencia a partir del 01 de enero de 2018, sin perjuicio de su publicación en el Registro Oficial.</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t>Comuníquese y publíquese.</w:t>
      </w:r>
    </w:p>
    <w:p w:rsidR="00BF36CC" w:rsidRDefault="00BF36CC" w:rsidP="00BF36CC">
      <w:pPr>
        <w:jc w:val="both"/>
        <w:rPr>
          <w:rStyle w:val="Hipervnculo"/>
          <w:rFonts w:ascii="Arial" w:hAnsi="Arial" w:cs="Arial"/>
          <w:b/>
          <w:bCs/>
          <w:color w:val="336699"/>
          <w:shd w:val="clear" w:color="auto" w:fill="FFFFFF"/>
        </w:rPr>
      </w:pPr>
    </w:p>
    <w:p w:rsidR="00BF36CC" w:rsidRDefault="00BF36CC" w:rsidP="00BF36CC">
      <w:pPr>
        <w:jc w:val="both"/>
        <w:rPr>
          <w:rStyle w:val="Hipervnculo"/>
          <w:rFonts w:ascii="Arial" w:hAnsi="Arial" w:cs="Arial"/>
          <w:b/>
          <w:bCs/>
          <w:color w:val="336699"/>
          <w:shd w:val="clear" w:color="auto" w:fill="FFFFFF"/>
        </w:rPr>
      </w:pPr>
      <w:bookmarkStart w:id="0" w:name="_GoBack"/>
    </w:p>
    <w:p w:rsidR="0066584C" w:rsidRDefault="00BF36CC" w:rsidP="00BF36CC">
      <w:pPr>
        <w:jc w:val="both"/>
        <w:rPr>
          <w:rFonts w:ascii="Arial" w:hAnsi="Arial" w:cs="Arial"/>
          <w:color w:val="37474F"/>
          <w:shd w:val="clear" w:color="auto" w:fill="FFFFFF"/>
        </w:rPr>
      </w:pPr>
      <w:r>
        <w:rPr>
          <w:rStyle w:val="Hipervnculo"/>
          <w:rFonts w:ascii="Arial" w:hAnsi="Arial" w:cs="Arial"/>
          <w:b/>
          <w:bCs/>
          <w:color w:val="336699"/>
          <w:shd w:val="clear" w:color="auto" w:fill="FFFFFF"/>
        </w:rPr>
        <w:t xml:space="preserve">Resolución </w:t>
      </w:r>
      <w:r w:rsidR="00360855" w:rsidRPr="00FF0901">
        <w:rPr>
          <w:rStyle w:val="Hipervnculo"/>
          <w:rFonts w:ascii="Arial" w:hAnsi="Arial" w:cs="Arial"/>
          <w:b/>
          <w:bCs/>
          <w:color w:val="336699"/>
          <w:shd w:val="clear" w:color="auto" w:fill="FFFFFF"/>
        </w:rPr>
        <w:t>NAC-DGERCGC17-00000623:</w:t>
      </w:r>
      <w:r w:rsidR="00360855">
        <w:rPr>
          <w:rFonts w:eastAsia="Times New Roman"/>
          <w:sz w:val="30"/>
          <w:szCs w:val="30"/>
          <w:lang w:val="es-ES"/>
        </w:rPr>
        <w:t xml:space="preserve"> </w:t>
      </w:r>
      <w:r w:rsidR="00360855" w:rsidRPr="00BF36CC">
        <w:rPr>
          <w:rFonts w:ascii="Arial" w:hAnsi="Arial" w:cs="Arial"/>
          <w:color w:val="37474F"/>
          <w:shd w:val="clear" w:color="auto" w:fill="FFFFFF"/>
        </w:rPr>
        <w:t>Actualícense los rangos de las tablas establecidas para liquidar el impuesto a la renta de las personas naturales, sucesiones indivisas, incrementos patrimoniales provenientes de herencias, legados, donaciones, hallazgos y todo tipo de acto o contrato por el cual se adquiera el dominio a título gratuito, de bienes y derechos para el 2018.</w:t>
      </w:r>
    </w:p>
    <w:p w:rsidR="0066584C" w:rsidRPr="00FF0901" w:rsidRDefault="0066584C" w:rsidP="006F6022">
      <w:pPr>
        <w:rPr>
          <w:rFonts w:ascii="Tahoma" w:eastAsia="Times New Roman" w:hAnsi="Tahoma" w:cs="Tahoma"/>
          <w:sz w:val="16"/>
          <w:szCs w:val="16"/>
          <w:lang w:val="es-ES"/>
        </w:rPr>
      </w:pPr>
    </w:p>
    <w:p w:rsidR="006F6022" w:rsidRDefault="00360855" w:rsidP="006F6022">
      <w:pPr>
        <w:jc w:val="center"/>
        <w:rPr>
          <w:rFonts w:ascii="Tahoma" w:eastAsia="Times New Roman" w:hAnsi="Tahoma" w:cs="Tahoma"/>
          <w:b/>
          <w:bCs/>
          <w:sz w:val="16"/>
          <w:szCs w:val="16"/>
          <w:lang w:val="es-ES"/>
        </w:rPr>
      </w:pPr>
      <w:r w:rsidRPr="00FF0901">
        <w:rPr>
          <w:rFonts w:ascii="Tahoma" w:eastAsia="Times New Roman" w:hAnsi="Tahoma" w:cs="Tahoma"/>
          <w:b/>
          <w:bCs/>
          <w:sz w:val="16"/>
          <w:szCs w:val="16"/>
          <w:lang w:val="es-ES"/>
        </w:rPr>
        <w:t xml:space="preserve">Resuelve: </w:t>
      </w:r>
      <w:r w:rsidRPr="00FF0901">
        <w:rPr>
          <w:rFonts w:ascii="Tahoma" w:eastAsia="Times New Roman" w:hAnsi="Tahoma" w:cs="Tahoma"/>
          <w:b/>
          <w:bCs/>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Actualizar los rangos de las tablas establecidas para liquidar el impuesto a la renta de las personas naturales, sucesiones indivisas, incrementos patrimoniales provenientes de herencias, legados, donaciones, hallazgos y todo tipo de acto o contrato por el cual se adquiera el dominio a título gratuito, de bienes y derechos para el 2018.</w:t>
      </w:r>
    </w:p>
    <w:p w:rsidR="0066584C" w:rsidRPr="00FF0901" w:rsidRDefault="00360855" w:rsidP="00FF0901">
      <w:pPr>
        <w:rPr>
          <w:rFonts w:ascii="Tahoma" w:eastAsia="Times New Roman" w:hAnsi="Tahoma" w:cs="Tahoma"/>
          <w:sz w:val="16"/>
          <w:szCs w:val="16"/>
          <w:lang w:val="es-ES"/>
        </w:rPr>
      </w:pP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 1.- Objeto.- </w:t>
      </w:r>
      <w:r w:rsidRPr="00FF0901">
        <w:rPr>
          <w:rFonts w:ascii="Tahoma" w:eastAsia="Times New Roman" w:hAnsi="Tahoma" w:cs="Tahoma"/>
          <w:sz w:val="16"/>
          <w:szCs w:val="16"/>
          <w:lang w:val="es-ES"/>
        </w:rPr>
        <w:t>Establecer los rangos de las tablas para liquidar el impuesto a la renta de las personas naturales, sucesiones indivisas, incrementos patrimoniales provenientes de herencias, legados, donaciones, hallazgos y todo tipo de acto o contrato por el cual se adquiera el dominio a título gratuito, de bienes y derechos para el 2018, a partir de la variación anual del índice de Precios al Consumidor de Área Urbana dictado por el INEC a noviembre de 2017.</w:t>
      </w:r>
      <w:r w:rsidRPr="00FF0901">
        <w:rPr>
          <w:rFonts w:ascii="Tahoma" w:eastAsia="Times New Roman" w:hAnsi="Tahoma" w:cs="Tahoma"/>
          <w:sz w:val="16"/>
          <w:szCs w:val="16"/>
          <w:lang w:val="es-ES"/>
        </w:rPr>
        <w:br/>
      </w:r>
      <w:r w:rsidRPr="00FF0901">
        <w:rPr>
          <w:rFonts w:ascii="Tahoma" w:eastAsia="Times New Roman" w:hAnsi="Tahoma" w:cs="Tahoma"/>
          <w:sz w:val="16"/>
          <w:szCs w:val="16"/>
          <w:lang w:val="es-ES"/>
        </w:rPr>
        <w:br/>
      </w:r>
      <w:r w:rsidRPr="00FF0901">
        <w:rPr>
          <w:rFonts w:ascii="Tahoma" w:eastAsia="Times New Roman" w:hAnsi="Tahoma" w:cs="Tahoma"/>
          <w:b/>
          <w:bCs/>
          <w:sz w:val="16"/>
          <w:szCs w:val="16"/>
          <w:lang w:val="es-ES"/>
        </w:rPr>
        <w:t xml:space="preserve">Art. 2.- Personas naturales y sucesiones indivisas- </w:t>
      </w:r>
      <w:r w:rsidRPr="00FF0901">
        <w:rPr>
          <w:rFonts w:ascii="Tahoma" w:eastAsia="Times New Roman" w:hAnsi="Tahoma" w:cs="Tahoma"/>
          <w:sz w:val="16"/>
          <w:szCs w:val="16"/>
          <w:lang w:val="es-ES"/>
        </w:rPr>
        <w:t xml:space="preserve">Los rangos de la tabla prevista en el literal a) del artículo 36 de la Ley de Régimen Tributario Interno para la liquidación del impuesto a la renta para los ingresos percibidos por las personas naturales y sucesiones indivisas correspondientes al ejercicio económico 2018, son los siguientes: </w:t>
      </w:r>
    </w:p>
    <w:p w:rsidR="0066584C" w:rsidRPr="00FF0901" w:rsidRDefault="0066584C" w:rsidP="00FF0901">
      <w:pPr>
        <w:rPr>
          <w:rFonts w:ascii="Tahoma" w:eastAsia="Times New Roman" w:hAnsi="Tahoma" w:cs="Tahoma"/>
          <w:sz w:val="16"/>
          <w:szCs w:val="16"/>
          <w:lang w:val="es-ES"/>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6"/>
        <w:gridCol w:w="1134"/>
        <w:gridCol w:w="1521"/>
        <w:gridCol w:w="1455"/>
      </w:tblGrid>
      <w:tr w:rsidR="0066584C" w:rsidRPr="00FF0901" w:rsidTr="00BF36CC">
        <w:trPr>
          <w:tblCellSpacing w:w="15" w:type="dxa"/>
          <w:jc w:val="center"/>
        </w:trPr>
        <w:tc>
          <w:tcPr>
            <w:tcW w:w="5326" w:type="dxa"/>
            <w:gridSpan w:val="4"/>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AÑO 2018</w:t>
            </w:r>
            <w:r w:rsidRPr="00FF0901">
              <w:rPr>
                <w:rFonts w:ascii="Tahoma" w:eastAsia="Times New Roman" w:hAnsi="Tahoma" w:cs="Tahoma"/>
                <w:b/>
                <w:bCs/>
                <w:sz w:val="16"/>
                <w:szCs w:val="16"/>
              </w:rPr>
              <w:br/>
              <w:t>En dólares</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b/>
                <w:bCs/>
                <w:sz w:val="16"/>
                <w:szCs w:val="16"/>
              </w:rPr>
              <w:t>Fracción Básica </w:t>
            </w:r>
          </w:p>
        </w:tc>
        <w:tc>
          <w:tcPr>
            <w:tcW w:w="1104"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Exceso hasta</w:t>
            </w:r>
          </w:p>
        </w:tc>
        <w:tc>
          <w:tcPr>
            <w:tcW w:w="1491"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Impuesto Fracción Básica</w:t>
            </w:r>
          </w:p>
        </w:tc>
        <w:tc>
          <w:tcPr>
            <w:tcW w:w="1410"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sz w:val="16"/>
                <w:szCs w:val="16"/>
              </w:rPr>
              <w:t xml:space="preserve">% </w:t>
            </w:r>
            <w:r w:rsidRPr="00FF0901">
              <w:rPr>
                <w:rFonts w:ascii="Tahoma" w:eastAsia="Times New Roman" w:hAnsi="Tahoma" w:cs="Tahoma"/>
                <w:b/>
                <w:bCs/>
                <w:sz w:val="16"/>
                <w:szCs w:val="16"/>
              </w:rPr>
              <w:t>Impuesto Fracción Excedente</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11.270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11.270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14.360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5%</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14.360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17.950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155</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10%</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17.950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21.550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514</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12%</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21.550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43.100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946</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15%</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43.100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64.630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4.178</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20%</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64.630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86.180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8.484</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25%</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86.180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114.890</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13.872</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30%</w:t>
            </w:r>
          </w:p>
        </w:tc>
      </w:tr>
      <w:tr w:rsidR="0066584C" w:rsidRPr="00FF0901" w:rsidTr="00BF36CC">
        <w:trPr>
          <w:tblCellSpacing w:w="15" w:type="dxa"/>
          <w:jc w:val="center"/>
        </w:trPr>
        <w:tc>
          <w:tcPr>
            <w:tcW w:w="123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114.890</w:t>
            </w:r>
          </w:p>
        </w:tc>
        <w:tc>
          <w:tcPr>
            <w:tcW w:w="110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En adelante</w:t>
            </w:r>
          </w:p>
        </w:tc>
        <w:tc>
          <w:tcPr>
            <w:tcW w:w="1491"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22.485</w:t>
            </w:r>
          </w:p>
        </w:tc>
        <w:tc>
          <w:tcPr>
            <w:tcW w:w="1410"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35%</w:t>
            </w:r>
          </w:p>
        </w:tc>
      </w:tr>
    </w:tbl>
    <w:p w:rsidR="006F6022" w:rsidRDefault="006F6022" w:rsidP="00FF0901">
      <w:pPr>
        <w:divId w:val="2002199279"/>
        <w:rPr>
          <w:rFonts w:ascii="Tahoma" w:eastAsia="Times New Roman" w:hAnsi="Tahoma" w:cs="Tahoma"/>
          <w:b/>
          <w:bCs/>
          <w:sz w:val="16"/>
          <w:szCs w:val="16"/>
          <w:lang w:val="es-ES"/>
        </w:rPr>
      </w:pPr>
    </w:p>
    <w:p w:rsidR="0066584C" w:rsidRPr="00FF0901" w:rsidRDefault="00360855" w:rsidP="00FF0901">
      <w:pPr>
        <w:divId w:val="2002199279"/>
        <w:rPr>
          <w:rFonts w:ascii="Tahoma" w:eastAsia="Times New Roman" w:hAnsi="Tahoma" w:cs="Tahoma"/>
          <w:sz w:val="16"/>
          <w:szCs w:val="16"/>
          <w:lang w:val="es-ES"/>
        </w:rPr>
      </w:pPr>
      <w:r w:rsidRPr="00FF0901">
        <w:rPr>
          <w:rFonts w:ascii="Tahoma" w:eastAsia="Times New Roman" w:hAnsi="Tahoma" w:cs="Tahoma"/>
          <w:b/>
          <w:bCs/>
          <w:sz w:val="16"/>
          <w:szCs w:val="16"/>
          <w:lang w:val="es-ES"/>
        </w:rPr>
        <w:lastRenderedPageBreak/>
        <w:t xml:space="preserve">Art. 3.- Herencias, legados, donaciones, hallazgos y todo tipo de acto o contrato por el cual se adquiera el dominio a título gratuito, de bienes </w:t>
      </w:r>
      <w:r w:rsidRPr="00FF0901">
        <w:rPr>
          <w:rFonts w:ascii="Tahoma" w:eastAsia="Times New Roman" w:hAnsi="Tahoma" w:cs="Tahoma"/>
          <w:sz w:val="16"/>
          <w:szCs w:val="16"/>
          <w:lang w:val="es-ES"/>
        </w:rPr>
        <w:t xml:space="preserve">y </w:t>
      </w:r>
      <w:r w:rsidRPr="00FF0901">
        <w:rPr>
          <w:rFonts w:ascii="Tahoma" w:eastAsia="Times New Roman" w:hAnsi="Tahoma" w:cs="Tahoma"/>
          <w:b/>
          <w:bCs/>
          <w:sz w:val="16"/>
          <w:szCs w:val="16"/>
          <w:lang w:val="es-ES"/>
        </w:rPr>
        <w:t xml:space="preserve">derechos.- </w:t>
      </w:r>
      <w:r w:rsidRPr="00FF0901">
        <w:rPr>
          <w:rFonts w:ascii="Tahoma" w:eastAsia="Times New Roman" w:hAnsi="Tahoma" w:cs="Tahoma"/>
          <w:sz w:val="16"/>
          <w:szCs w:val="16"/>
          <w:lang w:val="es-ES"/>
        </w:rPr>
        <w:t xml:space="preserve">Los rangos de la tabla prevista en el literal d) del artículo 36 de la Ley de Régimen Tributario Interno para la liquidación del impuesto a la renta por incrementos patrimoniales provenientes de herencias, legados, donaciones, hallazgos y todo tipo de acto o contrato por el cual se adquiera el dominio a título gratuito, de bienes y derechos, correspondientes al ejercicio económico 2018, son los siguientes: </w:t>
      </w:r>
    </w:p>
    <w:p w:rsidR="0066584C" w:rsidRPr="00FF0901" w:rsidRDefault="0066584C" w:rsidP="00FF0901">
      <w:pPr>
        <w:rPr>
          <w:rFonts w:ascii="Tahoma" w:eastAsia="Times New Roman" w:hAnsi="Tahoma" w:cs="Tahoma"/>
          <w:sz w:val="16"/>
          <w:szCs w:val="16"/>
          <w:lang w:val="es-ES"/>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8"/>
        <w:gridCol w:w="1002"/>
        <w:gridCol w:w="1276"/>
        <w:gridCol w:w="1559"/>
      </w:tblGrid>
      <w:tr w:rsidR="0066584C" w:rsidRPr="00FF0901" w:rsidTr="00BF36CC">
        <w:trPr>
          <w:tblCellSpacing w:w="15" w:type="dxa"/>
          <w:jc w:val="center"/>
        </w:trPr>
        <w:tc>
          <w:tcPr>
            <w:tcW w:w="5035" w:type="dxa"/>
            <w:gridSpan w:val="4"/>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AÑO 2018</w:t>
            </w:r>
            <w:r w:rsidRPr="00FF0901">
              <w:rPr>
                <w:rFonts w:ascii="Tahoma" w:eastAsia="Times New Roman" w:hAnsi="Tahoma" w:cs="Tahoma"/>
                <w:b/>
                <w:bCs/>
                <w:sz w:val="16"/>
                <w:szCs w:val="16"/>
              </w:rPr>
              <w:br/>
              <w:t>En dólares</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Fracción Básica</w:t>
            </w:r>
          </w:p>
        </w:tc>
        <w:tc>
          <w:tcPr>
            <w:tcW w:w="972"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Exceso hasta</w:t>
            </w:r>
          </w:p>
        </w:tc>
        <w:tc>
          <w:tcPr>
            <w:tcW w:w="1246"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b/>
                <w:bCs/>
                <w:sz w:val="16"/>
                <w:szCs w:val="16"/>
              </w:rPr>
              <w:t>Impuesto Fracción Básica</w:t>
            </w:r>
          </w:p>
        </w:tc>
        <w:tc>
          <w:tcPr>
            <w:tcW w:w="1514" w:type="dxa"/>
            <w:tcBorders>
              <w:top w:val="outset" w:sz="6" w:space="0" w:color="auto"/>
              <w:left w:val="outset" w:sz="6" w:space="0" w:color="auto"/>
              <w:bottom w:val="outset" w:sz="6" w:space="0" w:color="auto"/>
              <w:right w:val="outset" w:sz="6" w:space="0" w:color="auto"/>
            </w:tcBorders>
            <w:shd w:val="clear" w:color="auto" w:fill="A8A8A8"/>
            <w:vAlign w:val="center"/>
            <w:hideMark/>
          </w:tcPr>
          <w:p w:rsidR="0066584C" w:rsidRPr="00FF0901" w:rsidRDefault="00360855" w:rsidP="00BF36CC">
            <w:pPr>
              <w:jc w:val="center"/>
              <w:rPr>
                <w:rFonts w:ascii="Tahoma" w:eastAsia="Times New Roman" w:hAnsi="Tahoma" w:cs="Tahoma"/>
                <w:sz w:val="16"/>
                <w:szCs w:val="16"/>
              </w:rPr>
            </w:pPr>
            <w:r w:rsidRPr="00FF0901">
              <w:rPr>
                <w:rFonts w:ascii="Tahoma" w:eastAsia="Times New Roman" w:hAnsi="Tahoma" w:cs="Tahoma"/>
                <w:sz w:val="16"/>
                <w:szCs w:val="16"/>
              </w:rPr>
              <w:t xml:space="preserve">% </w:t>
            </w:r>
            <w:r w:rsidRPr="00FF0901">
              <w:rPr>
                <w:rFonts w:ascii="Tahoma" w:eastAsia="Times New Roman" w:hAnsi="Tahoma" w:cs="Tahoma"/>
                <w:b/>
                <w:bCs/>
                <w:sz w:val="16"/>
                <w:szCs w:val="16"/>
              </w:rPr>
              <w:t>Impuesto Fracción Excedente</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71.810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71.810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143.620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0</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5%</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143.620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287.240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3.591</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10%</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287.240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430.890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17.953</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15%</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430.890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574.530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39.500</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20%</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574.530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718.150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68.228</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25%</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718.150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861.760</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104.133</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30%</w:t>
            </w:r>
          </w:p>
        </w:tc>
      </w:tr>
      <w:tr w:rsidR="0066584C" w:rsidRPr="00FF0901" w:rsidTr="00BF36CC">
        <w:trPr>
          <w:tblCellSpacing w:w="15" w:type="dxa"/>
          <w:jc w:val="center"/>
        </w:trPr>
        <w:tc>
          <w:tcPr>
            <w:tcW w:w="1213"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861.760</w:t>
            </w:r>
          </w:p>
        </w:tc>
        <w:tc>
          <w:tcPr>
            <w:tcW w:w="972"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En adelante</w:t>
            </w:r>
          </w:p>
        </w:tc>
        <w:tc>
          <w:tcPr>
            <w:tcW w:w="1246"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147.216</w:t>
            </w:r>
          </w:p>
        </w:tc>
        <w:tc>
          <w:tcPr>
            <w:tcW w:w="1514" w:type="dxa"/>
            <w:tcBorders>
              <w:top w:val="outset" w:sz="6" w:space="0" w:color="auto"/>
              <w:left w:val="outset" w:sz="6" w:space="0" w:color="auto"/>
              <w:bottom w:val="outset" w:sz="6" w:space="0" w:color="auto"/>
              <w:right w:val="outset" w:sz="6" w:space="0" w:color="auto"/>
            </w:tcBorders>
            <w:vAlign w:val="center"/>
            <w:hideMark/>
          </w:tcPr>
          <w:p w:rsidR="0066584C" w:rsidRPr="00FF0901" w:rsidRDefault="00360855" w:rsidP="00FF0901">
            <w:pPr>
              <w:rPr>
                <w:rFonts w:ascii="Tahoma" w:eastAsia="Times New Roman" w:hAnsi="Tahoma" w:cs="Tahoma"/>
                <w:sz w:val="16"/>
                <w:szCs w:val="16"/>
              </w:rPr>
            </w:pPr>
            <w:r w:rsidRPr="00FF0901">
              <w:rPr>
                <w:rFonts w:ascii="Tahoma" w:eastAsia="Times New Roman" w:hAnsi="Tahoma" w:cs="Tahoma"/>
                <w:sz w:val="16"/>
                <w:szCs w:val="16"/>
              </w:rPr>
              <w:t>35%</w:t>
            </w:r>
          </w:p>
        </w:tc>
      </w:tr>
    </w:tbl>
    <w:p w:rsidR="006F6022" w:rsidRDefault="006F6022" w:rsidP="00FF0901">
      <w:pPr>
        <w:divId w:val="2099210515"/>
        <w:rPr>
          <w:rFonts w:ascii="Tahoma" w:eastAsia="Times New Roman" w:hAnsi="Tahoma" w:cs="Tahoma"/>
          <w:b/>
          <w:bCs/>
          <w:sz w:val="16"/>
          <w:szCs w:val="16"/>
          <w:lang w:val="es-ES"/>
        </w:rPr>
      </w:pPr>
    </w:p>
    <w:p w:rsidR="00360855" w:rsidRPr="00FF0901" w:rsidRDefault="00CE10BE" w:rsidP="00FF0901">
      <w:pPr>
        <w:divId w:val="2099210515"/>
        <w:rPr>
          <w:rFonts w:ascii="Tahoma" w:eastAsia="Times New Roman" w:hAnsi="Tahoma" w:cs="Tahoma"/>
          <w:sz w:val="16"/>
          <w:szCs w:val="16"/>
          <w:lang w:val="es-ES"/>
        </w:rPr>
      </w:pPr>
      <w:r>
        <w:rPr>
          <w:rFonts w:ascii="Tahoma" w:eastAsia="Times New Roman" w:hAnsi="Tahoma" w:cs="Tahoma"/>
          <w:noProof/>
          <w:sz w:val="16"/>
          <w:szCs w:val="16"/>
          <w:lang w:val="es-ES_tradnl" w:eastAsia="es-ES_tradnl"/>
        </w:rPr>
        <mc:AlternateContent>
          <mc:Choice Requires="wps">
            <w:drawing>
              <wp:anchor distT="0" distB="0" distL="114300" distR="114300" simplePos="0" relativeHeight="251667456" behindDoc="0" locked="0" layoutInCell="1" allowOverlap="1">
                <wp:simplePos x="0" y="0"/>
                <wp:positionH relativeFrom="column">
                  <wp:posOffset>-1070610</wp:posOffset>
                </wp:positionH>
                <wp:positionV relativeFrom="paragraph">
                  <wp:posOffset>561975</wp:posOffset>
                </wp:positionV>
                <wp:extent cx="7533005" cy="190500"/>
                <wp:effectExtent l="0" t="0" r="0" b="0"/>
                <wp:wrapNone/>
                <wp:docPr id="2" name="Rectángulo 2"/>
                <wp:cNvGraphicFramePr/>
                <a:graphic xmlns:a="http://schemas.openxmlformats.org/drawingml/2006/main">
                  <a:graphicData uri="http://schemas.microsoft.com/office/word/2010/wordprocessingShape">
                    <wps:wsp>
                      <wps:cNvSpPr/>
                      <wps:spPr>
                        <a:xfrm>
                          <a:off x="0" y="0"/>
                          <a:ext cx="7533005" cy="190500"/>
                        </a:xfrm>
                        <a:prstGeom prst="rect">
                          <a:avLst/>
                        </a:prstGeom>
                        <a:solidFill>
                          <a:srgbClr val="37BCC3"/>
                        </a:solidFill>
                        <a:ln>
                          <a:noFill/>
                        </a:ln>
                        <a:effectLst>
                          <a:innerShdw blurRad="63500" dist="50800" dir="162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FCC219" id="Rectángulo 2" o:spid="_x0000_s1026" style="position:absolute;margin-left:-84.3pt;margin-top:44.25pt;width:593.15pt;height: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" fillcolor="#37bcc3" stroked="f" strokeweight="1pt"/>
            </w:pict>
          </mc:Fallback>
        </mc:AlternateContent>
      </w:r>
      <w:r>
        <w:rPr>
          <w:rFonts w:ascii="Tahoma" w:eastAsia="Times New Roman" w:hAnsi="Tahoma" w:cs="Tahoma"/>
          <w:noProof/>
          <w:sz w:val="16"/>
          <w:szCs w:val="16"/>
          <w:lang w:val="es-ES_tradnl" w:eastAsia="es-ES_tradnl"/>
        </w:rPr>
        <w:drawing>
          <wp:anchor distT="0" distB="0" distL="114300" distR="114300" simplePos="0" relativeHeight="251666432" behindDoc="1" locked="0" layoutInCell="1" allowOverlap="1">
            <wp:simplePos x="0" y="0"/>
            <wp:positionH relativeFrom="page">
              <wp:align>left</wp:align>
            </wp:positionH>
            <wp:positionV relativeFrom="paragraph">
              <wp:posOffset>600075</wp:posOffset>
            </wp:positionV>
            <wp:extent cx="7543152" cy="6105525"/>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ERRE 2017 TC AUDIT-01-01.jpg"/>
                    <pic:cNvPicPr/>
                  </pic:nvPicPr>
                  <pic:blipFill rotWithShape="1">
                    <a:blip r:embed="rId8" cstate="print">
                      <a:extLst>
                        <a:ext uri="{28A0092B-C50C-407E-A947-70E740481C1C}">
                          <a14:useLocalDpi xmlns:a14="http://schemas.microsoft.com/office/drawing/2010/main" val="0"/>
                        </a:ext>
                      </a:extLst>
                    </a:blip>
                    <a:srcRect b="3811"/>
                    <a:stretch/>
                  </pic:blipFill>
                  <pic:spPr bwMode="auto">
                    <a:xfrm>
                      <a:off x="0" y="0"/>
                      <a:ext cx="7543152" cy="61055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60855" w:rsidRPr="00FF0901">
        <w:rPr>
          <w:rFonts w:ascii="Tahoma" w:eastAsia="Times New Roman" w:hAnsi="Tahoma" w:cs="Tahoma"/>
          <w:b/>
          <w:bCs/>
          <w:sz w:val="16"/>
          <w:szCs w:val="16"/>
          <w:lang w:val="es-ES"/>
        </w:rPr>
        <w:t xml:space="preserve">Disposición Final.- </w:t>
      </w:r>
      <w:r w:rsidR="00360855" w:rsidRPr="00FF0901">
        <w:rPr>
          <w:rFonts w:ascii="Tahoma" w:eastAsia="Times New Roman" w:hAnsi="Tahoma" w:cs="Tahoma"/>
          <w:sz w:val="16"/>
          <w:szCs w:val="16"/>
          <w:lang w:val="es-ES"/>
        </w:rPr>
        <w:t>Esta Resolución entrará en vigencia a partir de su publicación en el Registro Oficial.</w:t>
      </w:r>
      <w:r w:rsidR="00360855" w:rsidRPr="00FF0901">
        <w:rPr>
          <w:rFonts w:ascii="Tahoma" w:eastAsia="Times New Roman" w:hAnsi="Tahoma" w:cs="Tahoma"/>
          <w:sz w:val="16"/>
          <w:szCs w:val="16"/>
          <w:lang w:val="es-ES"/>
        </w:rPr>
        <w:br/>
      </w:r>
      <w:r w:rsidR="00360855" w:rsidRPr="00FF0901">
        <w:rPr>
          <w:rFonts w:ascii="Tahoma" w:eastAsia="Times New Roman" w:hAnsi="Tahoma" w:cs="Tahoma"/>
          <w:sz w:val="16"/>
          <w:szCs w:val="16"/>
          <w:lang w:val="es-ES"/>
        </w:rPr>
        <w:br/>
      </w:r>
      <w:bookmarkEnd w:id="0"/>
    </w:p>
    <w:sectPr w:rsidR="00360855" w:rsidRPr="00FF0901">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6DA" w:rsidRDefault="002C46DA">
      <w:r>
        <w:separator/>
      </w:r>
    </w:p>
  </w:endnote>
  <w:endnote w:type="continuationSeparator" w:id="0">
    <w:p w:rsidR="002C46DA" w:rsidRDefault="002C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ffra Light">
    <w:charset w:val="00"/>
    <w:family w:val="auto"/>
    <w:pitch w:val="variable"/>
    <w:sig w:usb0="A00000AF" w:usb1="5000205B" w:usb2="00000000" w:usb3="00000000" w:csb0="0000009B"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44" w:rsidRDefault="00360855" w:rsidP="00A022A6">
    <w:pPr>
      <w:pStyle w:val="Piedepgina"/>
    </w:pPr>
    <w:r w:rsidRPr="008A2665">
      <w:rPr>
        <w:rFonts w:ascii="Tahoma" w:hAnsi="Tahoma" w:cs="Tahoma"/>
        <w:b/>
        <w:bCs/>
        <w:noProof/>
        <w:sz w:val="16"/>
        <w:szCs w:val="16"/>
        <w:shd w:val="clear" w:color="auto" w:fill="FFFFFF"/>
        <w:lang w:val="es-ES_tradnl" w:eastAsia="es-ES_tradnl"/>
      </w:rPr>
      <w:drawing>
        <wp:anchor distT="0" distB="0" distL="114300" distR="114300" simplePos="0" relativeHeight="251664384" behindDoc="1" locked="0" layoutInCell="1" allowOverlap="1" wp14:anchorId="542128FF" wp14:editId="172EABE3">
          <wp:simplePos x="0" y="0"/>
          <wp:positionH relativeFrom="page">
            <wp:posOffset>5584825</wp:posOffset>
          </wp:positionH>
          <wp:positionV relativeFrom="paragraph">
            <wp:posOffset>-599630</wp:posOffset>
          </wp:positionV>
          <wp:extent cx="1973669" cy="1274964"/>
          <wp:effectExtent l="0" t="0" r="7620" b="190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 cstate="print">
                    <a:extLst>
                      <a:ext uri="{28A0092B-C50C-407E-A947-70E740481C1C}">
                        <a14:useLocalDpi xmlns:a14="http://schemas.microsoft.com/office/drawing/2010/main" val="0"/>
                      </a:ext>
                    </a:extLst>
                  </a:blip>
                  <a:srcRect l="71660"/>
                  <a:stretch/>
                </pic:blipFill>
                <pic:spPr bwMode="auto">
                  <a:xfrm>
                    <a:off x="0" y="0"/>
                    <a:ext cx="1973669" cy="127496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ES_tradnl" w:eastAsia="es-ES_tradnl"/>
      </w:rPr>
      <mc:AlternateContent>
        <mc:Choice Requires="wps">
          <w:drawing>
            <wp:anchor distT="0" distB="0" distL="114300" distR="114300" simplePos="0" relativeHeight="251659264" behindDoc="0" locked="0" layoutInCell="1" allowOverlap="1" wp14:anchorId="7484D07E" wp14:editId="263F7859">
              <wp:simplePos x="0" y="0"/>
              <wp:positionH relativeFrom="page">
                <wp:align>left</wp:align>
              </wp:positionH>
              <wp:positionV relativeFrom="paragraph">
                <wp:posOffset>112766</wp:posOffset>
              </wp:positionV>
              <wp:extent cx="7573992" cy="0"/>
              <wp:effectExtent l="0" t="0" r="27305" b="19050"/>
              <wp:wrapNone/>
              <wp:docPr id="12"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CDA679" id="3 Conector recto" o:spid="_x0000_s1026" style="position:absolute;z-index:251659264;visibility:visible;mso-wrap-style:square;mso-wrap-distance-left:9pt;mso-wrap-distance-top:0;mso-wrap-distance-right:9pt;mso-wrap-distance-bottom:0;mso-position-horizontal:left;mso-position-horizontal-relative:page;mso-position-vertical:absolute;mso-position-vertical-relative:text" from="0,8.9pt" to="596.4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" strokecolor="#936" strokeweight=".25pt">
              <v:stroke joinstyle="miter"/>
              <w10:wrap anchorx="page"/>
            </v:line>
          </w:pict>
        </mc:Fallback>
      </mc:AlternateContent>
    </w:r>
  </w:p>
  <w:p w:rsidR="00134544" w:rsidRDefault="00360855">
    <w:pPr>
      <w:pStyle w:val="Piedepgina"/>
    </w:pPr>
    <w:r>
      <w:rPr>
        <w:noProof/>
        <w:lang w:val="es-ES_tradnl" w:eastAsia="es-ES_tradnl"/>
      </w:rPr>
      <mc:AlternateContent>
        <mc:Choice Requires="wps">
          <w:drawing>
            <wp:anchor distT="0" distB="0" distL="114300" distR="114300" simplePos="0" relativeHeight="251660288" behindDoc="0" locked="0" layoutInCell="1" allowOverlap="1" wp14:anchorId="6BF8AA7F" wp14:editId="3DB1C4DF">
              <wp:simplePos x="0" y="0"/>
              <wp:positionH relativeFrom="column">
                <wp:posOffset>-730885</wp:posOffset>
              </wp:positionH>
              <wp:positionV relativeFrom="paragraph">
                <wp:posOffset>2169</wp:posOffset>
              </wp:positionV>
              <wp:extent cx="7573645" cy="0"/>
              <wp:effectExtent l="0" t="0" r="27305" b="19050"/>
              <wp:wrapNone/>
              <wp:docPr id="13"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31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0F2965" id="6 Conector recto"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" strokecolor="#3cc" strokeweight=".25pt">
              <v:stroke joinstyle="miter"/>
            </v:line>
          </w:pict>
        </mc:Fallback>
      </mc:AlternateContent>
    </w:r>
    <w:r>
      <w:rPr>
        <w:noProof/>
        <w:lang w:val="es-ES_tradnl" w:eastAsia="es-ES_tradnl"/>
      </w:rPr>
      <mc:AlternateContent>
        <mc:Choice Requires="wps">
          <w:drawing>
            <wp:anchor distT="0" distB="0" distL="114300" distR="114300" simplePos="0" relativeHeight="251661312" behindDoc="0" locked="0" layoutInCell="1" allowOverlap="1" wp14:anchorId="67DA66DE" wp14:editId="40A933E8">
              <wp:simplePos x="0" y="0"/>
              <wp:positionH relativeFrom="column">
                <wp:posOffset>-722630</wp:posOffset>
              </wp:positionH>
              <wp:positionV relativeFrom="paragraph">
                <wp:posOffset>366766</wp:posOffset>
              </wp:positionV>
              <wp:extent cx="7573992" cy="0"/>
              <wp:effectExtent l="0" t="0" r="27305" b="19050"/>
              <wp:wrapNone/>
              <wp:docPr id="14"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8C9B60" id="7 Conector recto"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" strokecolor="#066" strokeweight=".25pt">
              <v:stroke joinstyle="miter"/>
            </v:lin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6DA" w:rsidRDefault="002C46DA">
      <w:r>
        <w:separator/>
      </w:r>
    </w:p>
  </w:footnote>
  <w:footnote w:type="continuationSeparator" w:id="0">
    <w:p w:rsidR="002C46DA" w:rsidRDefault="002C46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44" w:rsidRPr="00E30DCB" w:rsidRDefault="00360855">
    <w:pPr>
      <w:pStyle w:val="Encabezado"/>
      <w:jc w:val="right"/>
      <w:rPr>
        <w:rFonts w:ascii="Tahoma" w:hAnsi="Tahoma" w:cs="Tahoma"/>
        <w:b/>
        <w:color w:val="009999"/>
        <w:sz w:val="24"/>
      </w:rPr>
    </w:pPr>
    <w:r w:rsidRPr="003F1E8D">
      <w:rPr>
        <w:rFonts w:ascii="Effra Light" w:hAnsi="Effra Light"/>
        <w:b/>
        <w:noProof/>
        <w:color w:val="33CCCC"/>
        <w:lang w:val="es-ES_tradnl" w:eastAsia="es-ES_tradnl"/>
      </w:rPr>
      <mc:AlternateContent>
        <mc:Choice Requires="wps">
          <w:drawing>
            <wp:anchor distT="0" distB="0" distL="114300" distR="114300" simplePos="0" relativeHeight="251662336" behindDoc="0" locked="0" layoutInCell="1" allowOverlap="1" wp14:anchorId="4930732F" wp14:editId="62BFBE45">
              <wp:simplePos x="0" y="0"/>
              <wp:positionH relativeFrom="column">
                <wp:posOffset>3489325</wp:posOffset>
              </wp:positionH>
              <wp:positionV relativeFrom="paragraph">
                <wp:posOffset>-35560</wp:posOffset>
              </wp:positionV>
              <wp:extent cx="2458085" cy="1403985"/>
              <wp:effectExtent l="0" t="0" r="0" b="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134544" w:rsidRPr="00E30DCB" w:rsidRDefault="00360855"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30732F"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" stroked="f">
              <v:textbox style="mso-fit-shape-to-text:t">
                <w:txbxContent>
                  <w:p w:rsidR="00134544" w:rsidRPr="00E30DCB" w:rsidRDefault="00360855"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v:textbox>
            </v:shape>
          </w:pict>
        </mc:Fallback>
      </mc:AlternateContent>
    </w:r>
    <w:r w:rsidRPr="003F1E8D">
      <w:rPr>
        <w:rFonts w:ascii="Tahoma" w:hAnsi="Tahoma" w:cs="Tahoma"/>
        <w:b/>
        <w:noProof/>
        <w:color w:val="33CCCC"/>
        <w:sz w:val="24"/>
        <w:lang w:val="es-ES_tradnl" w:eastAsia="es-ES_tradnl"/>
      </w:rPr>
      <mc:AlternateContent>
        <mc:Choice Requires="wps">
          <w:drawing>
            <wp:anchor distT="0" distB="0" distL="114300" distR="114300" simplePos="0" relativeHeight="251663360" behindDoc="0" locked="0" layoutInCell="1" allowOverlap="1" wp14:anchorId="70F341FE" wp14:editId="3F37A0D0">
              <wp:simplePos x="0" y="0"/>
              <wp:positionH relativeFrom="column">
                <wp:posOffset>5945769</wp:posOffset>
              </wp:positionH>
              <wp:positionV relativeFrom="paragraph">
                <wp:posOffset>-635</wp:posOffset>
              </wp:positionV>
              <wp:extent cx="0" cy="482600"/>
              <wp:effectExtent l="0" t="0" r="19050" b="12700"/>
              <wp:wrapNone/>
              <wp:docPr id="11"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A668A2" id="9 Conector recto"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" strokecolor="#3cc" strokeweight="1.5pt">
              <v:stroke joinstyle="miter"/>
            </v:line>
          </w:pict>
        </mc:Fallback>
      </mc:AlternateContent>
    </w:r>
    <w:sdt>
      <w:sdtPr>
        <w:rPr>
          <w:rFonts w:ascii="Effra Light" w:hAnsi="Effra Light"/>
          <w:b/>
          <w:color w:val="33CCCC"/>
        </w:rPr>
        <w:id w:val="-915867951"/>
        <w:docPartObj>
          <w:docPartGallery w:val="Page Numbers (Top of Page)"/>
          <w:docPartUnique/>
        </w:docPartObj>
      </w:sdtPr>
      <w:sdtEndPr>
        <w:rPr>
          <w:rFonts w:ascii="Tahoma" w:hAnsi="Tahoma" w:cs="Tahoma"/>
          <w:color w:val="009999"/>
          <w:sz w:val="24"/>
        </w:rPr>
      </w:sdtEndPr>
      <w:sdtContent>
        <w:r w:rsidRPr="00E30DCB">
          <w:rPr>
            <w:rFonts w:ascii="Tahoma" w:hAnsi="Tahoma" w:cs="Tahoma"/>
            <w:b/>
            <w:color w:val="009999"/>
            <w:sz w:val="24"/>
          </w:rPr>
          <w:fldChar w:fldCharType="begin"/>
        </w:r>
        <w:r w:rsidRPr="00E30DCB">
          <w:rPr>
            <w:rFonts w:ascii="Tahoma" w:hAnsi="Tahoma" w:cs="Tahoma"/>
            <w:b/>
            <w:color w:val="009999"/>
            <w:sz w:val="24"/>
          </w:rPr>
          <w:instrText>PAGE   \* MERGEFORMAT</w:instrText>
        </w:r>
        <w:r w:rsidRPr="00E30DCB">
          <w:rPr>
            <w:rFonts w:ascii="Tahoma" w:hAnsi="Tahoma" w:cs="Tahoma"/>
            <w:b/>
            <w:color w:val="009999"/>
            <w:sz w:val="24"/>
          </w:rPr>
          <w:fldChar w:fldCharType="separate"/>
        </w:r>
        <w:r w:rsidR="00A86865">
          <w:rPr>
            <w:rFonts w:ascii="Tahoma" w:hAnsi="Tahoma" w:cs="Tahoma"/>
            <w:b/>
            <w:noProof/>
            <w:color w:val="009999"/>
            <w:sz w:val="24"/>
          </w:rPr>
          <w:t>1</w:t>
        </w:r>
        <w:r w:rsidRPr="00E30DCB">
          <w:rPr>
            <w:rFonts w:ascii="Tahoma" w:hAnsi="Tahoma" w:cs="Tahoma"/>
            <w:b/>
            <w:color w:val="009999"/>
            <w:sz w:val="24"/>
          </w:rPr>
          <w:fldChar w:fldCharType="end"/>
        </w:r>
      </w:sdtContent>
    </w:sdt>
  </w:p>
  <w:p w:rsidR="00134544" w:rsidRDefault="002C46DA" w:rsidP="003F1E8D">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01"/>
    <w:rsid w:val="002C46DA"/>
    <w:rsid w:val="00360855"/>
    <w:rsid w:val="0066584C"/>
    <w:rsid w:val="006F6022"/>
    <w:rsid w:val="00A86865"/>
    <w:rsid w:val="00BF36CC"/>
    <w:rsid w:val="00CE10BE"/>
    <w:rsid w:val="00FF090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DFAB1C-C446-4682-8137-DF901DE52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styleId="Hipervnculo">
    <w:name w:val="Hyperlink"/>
    <w:basedOn w:val="Fuentedeprrafopredeter"/>
    <w:uiPriority w:val="99"/>
    <w:unhideWhenUsed/>
    <w:rsid w:val="00FF0901"/>
    <w:rPr>
      <w:color w:val="0000FF"/>
      <w:u w:val="single"/>
    </w:rPr>
  </w:style>
  <w:style w:type="paragraph" w:styleId="Encabezado">
    <w:name w:val="header"/>
    <w:basedOn w:val="Normal"/>
    <w:link w:val="EncabezadoCar"/>
    <w:uiPriority w:val="99"/>
    <w:unhideWhenUsed/>
    <w:rsid w:val="00FF0901"/>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FF0901"/>
    <w:rPr>
      <w:rFonts w:asciiTheme="minorHAnsi" w:eastAsiaTheme="minorHAnsi" w:hAnsiTheme="minorHAnsi" w:cstheme="minorBidi"/>
      <w:sz w:val="22"/>
      <w:szCs w:val="22"/>
      <w:lang w:val="es-ES" w:eastAsia="en-US"/>
    </w:rPr>
  </w:style>
  <w:style w:type="paragraph" w:styleId="Piedepgina">
    <w:name w:val="footer"/>
    <w:basedOn w:val="Normal"/>
    <w:link w:val="PiedepginaCar"/>
    <w:uiPriority w:val="99"/>
    <w:unhideWhenUsed/>
    <w:rsid w:val="00FF0901"/>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PiedepginaCar">
    <w:name w:val="Pie de página Car"/>
    <w:basedOn w:val="Fuentedeprrafopredeter"/>
    <w:link w:val="Piedepgina"/>
    <w:uiPriority w:val="99"/>
    <w:rsid w:val="00FF0901"/>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86585">
      <w:marLeft w:val="0"/>
      <w:marRight w:val="0"/>
      <w:marTop w:val="0"/>
      <w:marBottom w:val="0"/>
      <w:divBdr>
        <w:top w:val="none" w:sz="0" w:space="0" w:color="auto"/>
        <w:left w:val="none" w:sz="0" w:space="0" w:color="auto"/>
        <w:bottom w:val="none" w:sz="0" w:space="0" w:color="auto"/>
        <w:right w:val="none" w:sz="0" w:space="0" w:color="auto"/>
      </w:divBdr>
    </w:div>
    <w:div w:id="1023285091">
      <w:marLeft w:val="0"/>
      <w:marRight w:val="0"/>
      <w:marTop w:val="0"/>
      <w:marBottom w:val="0"/>
      <w:divBdr>
        <w:top w:val="none" w:sz="0" w:space="0" w:color="auto"/>
        <w:left w:val="none" w:sz="0" w:space="0" w:color="auto"/>
        <w:bottom w:val="none" w:sz="0" w:space="0" w:color="auto"/>
        <w:right w:val="none" w:sz="0" w:space="0" w:color="auto"/>
      </w:divBdr>
    </w:div>
    <w:div w:id="1908806988">
      <w:marLeft w:val="0"/>
      <w:marRight w:val="0"/>
      <w:marTop w:val="0"/>
      <w:marBottom w:val="0"/>
      <w:divBdr>
        <w:top w:val="none" w:sz="0" w:space="0" w:color="auto"/>
        <w:left w:val="none" w:sz="0" w:space="0" w:color="auto"/>
        <w:bottom w:val="none" w:sz="0" w:space="0" w:color="auto"/>
        <w:right w:val="none" w:sz="0" w:space="0" w:color="auto"/>
      </w:divBdr>
    </w:div>
    <w:div w:id="2002199279">
      <w:marLeft w:val="0"/>
      <w:marRight w:val="0"/>
      <w:marTop w:val="0"/>
      <w:marBottom w:val="0"/>
      <w:divBdr>
        <w:top w:val="none" w:sz="0" w:space="0" w:color="auto"/>
        <w:left w:val="none" w:sz="0" w:space="0" w:color="auto"/>
        <w:bottom w:val="none" w:sz="0" w:space="0" w:color="auto"/>
        <w:right w:val="none" w:sz="0" w:space="0" w:color="auto"/>
      </w:divBdr>
    </w:div>
    <w:div w:id="209921051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3922</Words>
  <Characters>21571</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dc:creator>
  <cp:keywords/>
  <dc:description/>
  <cp:lastModifiedBy>USUARIO</cp:lastModifiedBy>
  <cp:revision>2</cp:revision>
  <cp:lastPrinted>2017-12-29T14:15:00Z</cp:lastPrinted>
  <dcterms:created xsi:type="dcterms:W3CDTF">2018-01-09T15:48:00Z</dcterms:created>
  <dcterms:modified xsi:type="dcterms:W3CDTF">2018-01-09T15:48:00Z</dcterms:modified>
</cp:coreProperties>
</file>